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b/>
          <w:bCs/>
          <w:sz w:val="52"/>
          <w:szCs w:val="52"/>
        </w:rPr>
      </w:pPr>
      <w:r>
        <w:rPr>
          <w:rFonts w:hint="eastAsia"/>
          <w:b/>
          <w:bCs/>
          <w:sz w:val="52"/>
          <w:szCs w:val="52"/>
        </w:rPr>
        <w:t xml:space="preserve">建 设 项 目 竣 工 </w:t>
      </w:r>
    </w:p>
    <w:p>
      <w:pPr>
        <w:spacing w:line="360" w:lineRule="auto"/>
        <w:jc w:val="center"/>
        <w:rPr>
          <w:b/>
          <w:bCs/>
          <w:spacing w:val="20"/>
          <w:sz w:val="52"/>
          <w:szCs w:val="52"/>
        </w:rPr>
      </w:pPr>
      <w:r>
        <w:rPr>
          <w:rFonts w:hint="eastAsia"/>
          <w:b/>
          <w:bCs/>
          <w:spacing w:val="20"/>
          <w:sz w:val="52"/>
          <w:szCs w:val="52"/>
        </w:rPr>
        <w:t>环境保护验收调查表</w:t>
      </w:r>
    </w:p>
    <w:p>
      <w:pPr>
        <w:ind w:right="-124" w:rightChars="-59"/>
        <w:jc w:val="center"/>
        <w:rPr>
          <w:bCs/>
          <w:sz w:val="28"/>
          <w:szCs w:val="28"/>
        </w:rPr>
      </w:pPr>
      <w:r>
        <w:rPr>
          <w:bCs/>
          <w:sz w:val="28"/>
          <w:szCs w:val="28"/>
        </w:rPr>
        <w:t>[</w:t>
      </w:r>
      <w:r>
        <w:rPr>
          <w:rFonts w:hint="eastAsia"/>
          <w:bCs/>
          <w:sz w:val="28"/>
          <w:szCs w:val="28"/>
        </w:rPr>
        <w:t>川辐环验字</w:t>
      </w:r>
      <w:r>
        <w:rPr>
          <w:bCs/>
          <w:sz w:val="28"/>
          <w:szCs w:val="28"/>
        </w:rPr>
        <w:t xml:space="preserve"> (201</w:t>
      </w:r>
      <w:r>
        <w:rPr>
          <w:rFonts w:hint="eastAsia"/>
          <w:bCs/>
          <w:sz w:val="28"/>
          <w:szCs w:val="28"/>
        </w:rPr>
        <w:t>7</w:t>
      </w:r>
      <w:r>
        <w:rPr>
          <w:bCs/>
          <w:sz w:val="28"/>
          <w:szCs w:val="28"/>
        </w:rPr>
        <w:t>)</w:t>
      </w:r>
      <w:r>
        <w:rPr>
          <w:rFonts w:hint="eastAsia"/>
          <w:bCs/>
          <w:sz w:val="28"/>
          <w:szCs w:val="28"/>
        </w:rPr>
        <w:t>第</w:t>
      </w:r>
      <w:r>
        <w:rPr>
          <w:bCs/>
          <w:sz w:val="28"/>
          <w:szCs w:val="28"/>
        </w:rPr>
        <w:t>EM</w:t>
      </w:r>
      <w:r>
        <w:rPr>
          <w:rFonts w:hint="eastAsia"/>
          <w:bCs/>
          <w:sz w:val="28"/>
          <w:szCs w:val="28"/>
        </w:rPr>
        <w:t>0007-04号</w:t>
      </w:r>
      <w:r>
        <w:rPr>
          <w:bCs/>
          <w:sz w:val="28"/>
          <w:szCs w:val="28"/>
        </w:rPr>
        <w:t>]</w:t>
      </w:r>
    </w:p>
    <w:p>
      <w:pPr>
        <w:jc w:val="center"/>
        <w:rPr>
          <w:rFonts w:hAnsi="宋体"/>
          <w:b/>
          <w:sz w:val="36"/>
        </w:rPr>
      </w:pPr>
    </w:p>
    <w:p>
      <w:pPr>
        <w:jc w:val="center"/>
        <w:rPr>
          <w:rFonts w:hAnsi="宋体"/>
          <w:b/>
          <w:sz w:val="36"/>
        </w:rPr>
      </w:pPr>
    </w:p>
    <w:p>
      <w:pPr>
        <w:jc w:val="center"/>
        <w:rPr>
          <w:rFonts w:hAnsi="宋体"/>
          <w:b/>
          <w:sz w:val="36"/>
        </w:rPr>
      </w:pPr>
    </w:p>
    <w:p>
      <w:pPr>
        <w:jc w:val="center"/>
        <w:rPr>
          <w:rFonts w:hAnsi="宋体"/>
          <w:b/>
          <w:sz w:val="36"/>
        </w:rPr>
      </w:pPr>
    </w:p>
    <w:p>
      <w:pPr>
        <w:tabs>
          <w:tab w:val="left" w:pos="360"/>
          <w:tab w:val="left" w:pos="540"/>
          <w:tab w:val="left" w:pos="720"/>
          <w:tab w:val="left" w:pos="1980"/>
        </w:tabs>
        <w:ind w:firstLine="351" w:firstLineChars="97"/>
        <w:rPr>
          <w:sz w:val="36"/>
          <w:szCs w:val="36"/>
          <w:u w:val="single"/>
        </w:rPr>
      </w:pPr>
      <w:r>
        <w:rPr>
          <w:rFonts w:hint="eastAsia" w:hAnsi="宋体"/>
          <w:b/>
          <w:sz w:val="36"/>
        </w:rPr>
        <w:t>项目名称：</w:t>
      </w:r>
      <w:r>
        <w:rPr>
          <w:rFonts w:hint="eastAsia"/>
          <w:sz w:val="36"/>
          <w:szCs w:val="36"/>
          <w:u w:val="single"/>
        </w:rPr>
        <w:t xml:space="preserve"> 平武县龙安35</w:t>
      </w:r>
      <w:r>
        <w:rPr>
          <w:rFonts w:hint="eastAsia"/>
          <w:bCs/>
          <w:sz w:val="36"/>
          <w:szCs w:val="36"/>
          <w:u w:val="single"/>
        </w:rPr>
        <w:t>kV</w:t>
      </w:r>
      <w:r>
        <w:rPr>
          <w:rFonts w:hint="eastAsia"/>
          <w:sz w:val="36"/>
          <w:szCs w:val="36"/>
          <w:u w:val="single"/>
        </w:rPr>
        <w:t xml:space="preserve">变电站灾后恢复  </w:t>
      </w:r>
    </w:p>
    <w:p>
      <w:pPr>
        <w:spacing w:line="360" w:lineRule="auto"/>
        <w:ind w:firstLine="2160" w:firstLineChars="600"/>
        <w:rPr>
          <w:bCs/>
          <w:sz w:val="36"/>
          <w:szCs w:val="36"/>
        </w:rPr>
      </w:pPr>
      <w:r>
        <w:rPr>
          <w:rFonts w:hint="eastAsia"/>
          <w:sz w:val="36"/>
          <w:szCs w:val="36"/>
          <w:u w:val="single"/>
        </w:rPr>
        <w:t xml:space="preserve">重建改造工程           </w:t>
      </w:r>
    </w:p>
    <w:p>
      <w:pPr>
        <w:spacing w:line="360" w:lineRule="auto"/>
        <w:rPr>
          <w:sz w:val="36"/>
        </w:rPr>
      </w:pPr>
    </w:p>
    <w:p>
      <w:pPr>
        <w:spacing w:line="360" w:lineRule="auto"/>
        <w:ind w:firstLine="361" w:firstLineChars="100"/>
        <w:rPr>
          <w:sz w:val="36"/>
          <w:szCs w:val="36"/>
          <w:u w:val="single"/>
        </w:rPr>
      </w:pPr>
      <w:r>
        <w:rPr>
          <w:rFonts w:hint="eastAsia" w:hAnsi="宋体"/>
          <w:b/>
          <w:sz w:val="36"/>
        </w:rPr>
        <w:t>建设单位：</w:t>
      </w:r>
      <w:r>
        <w:rPr>
          <w:rFonts w:hint="eastAsia"/>
          <w:bCs/>
          <w:sz w:val="36"/>
          <w:szCs w:val="36"/>
          <w:u w:val="single"/>
        </w:rPr>
        <w:t xml:space="preserve">四川省平武电力（集团）有限公司 </w:t>
      </w:r>
    </w:p>
    <w:p>
      <w:pPr>
        <w:spacing w:line="360" w:lineRule="auto"/>
        <w:rPr>
          <w:bCs/>
          <w:sz w:val="36"/>
          <w:u w:val="single"/>
        </w:rPr>
      </w:pPr>
    </w:p>
    <w:p>
      <w:pPr>
        <w:spacing w:line="360" w:lineRule="auto"/>
        <w:rPr>
          <w:sz w:val="36"/>
        </w:rPr>
      </w:pPr>
    </w:p>
    <w:p>
      <w:pPr>
        <w:spacing w:line="360" w:lineRule="auto"/>
        <w:ind w:firstLine="361" w:firstLineChars="100"/>
        <w:rPr>
          <w:sz w:val="36"/>
        </w:rPr>
      </w:pPr>
      <w:r>
        <w:rPr>
          <w:rFonts w:hint="eastAsia"/>
          <w:b/>
          <w:bCs/>
          <w:sz w:val="36"/>
        </w:rPr>
        <w:t>编制单位</w:t>
      </w:r>
      <w:r>
        <w:rPr>
          <w:rFonts w:hint="eastAsia"/>
          <w:sz w:val="36"/>
        </w:rPr>
        <w:t>：  四川省辐射环境管理监测中心站</w:t>
      </w:r>
    </w:p>
    <w:p>
      <w:pPr>
        <w:spacing w:line="360" w:lineRule="auto"/>
        <w:rPr>
          <w:b/>
          <w:bCs/>
          <w:sz w:val="36"/>
        </w:rPr>
      </w:pPr>
    </w:p>
    <w:p>
      <w:pPr>
        <w:spacing w:line="360" w:lineRule="auto"/>
        <w:rPr>
          <w:b/>
          <w:bCs/>
          <w:sz w:val="36"/>
        </w:rPr>
      </w:pPr>
    </w:p>
    <w:p>
      <w:pPr>
        <w:spacing w:line="360" w:lineRule="auto"/>
        <w:rPr>
          <w:sz w:val="36"/>
        </w:rPr>
      </w:pPr>
      <w:r>
        <w:rPr>
          <w:rFonts w:hint="eastAsia"/>
          <w:b/>
          <w:bCs/>
          <w:sz w:val="36"/>
        </w:rPr>
        <w:t xml:space="preserve">  编制日期：       </w:t>
      </w:r>
      <w:r>
        <w:rPr>
          <w:rFonts w:hint="eastAsia"/>
          <w:sz w:val="36"/>
        </w:rPr>
        <w:t>二O一八年十一月</w:t>
      </w:r>
    </w:p>
    <w:p>
      <w:pPr>
        <w:spacing w:line="360" w:lineRule="auto"/>
        <w:rPr>
          <w:sz w:val="36"/>
        </w:rPr>
      </w:pPr>
    </w:p>
    <w:p>
      <w:pPr>
        <w:sectPr>
          <w:footerReference r:id="rId3" w:type="default"/>
          <w:footerReference r:id="rId4" w:type="even"/>
          <w:pgSz w:w="11906" w:h="16838"/>
          <w:pgMar w:top="1440" w:right="1800" w:bottom="1440" w:left="1800" w:header="851" w:footer="992" w:gutter="0"/>
          <w:cols w:space="720" w:num="1"/>
          <w:docGrid w:type="lines" w:linePitch="312" w:charSpace="0"/>
        </w:sectPr>
      </w:pPr>
    </w:p>
    <w:p>
      <w:pPr>
        <w:jc w:val="center"/>
        <w:rPr>
          <w:sz w:val="36"/>
          <w:szCs w:val="36"/>
        </w:rPr>
      </w:pPr>
      <w:r>
        <w:rPr>
          <w:rFonts w:hint="eastAsia"/>
          <w:sz w:val="36"/>
          <w:szCs w:val="36"/>
        </w:rPr>
        <w:t>平武县龙安35</w:t>
      </w:r>
      <w:r>
        <w:rPr>
          <w:rFonts w:hint="eastAsia"/>
          <w:bCs/>
          <w:sz w:val="36"/>
          <w:szCs w:val="36"/>
        </w:rPr>
        <w:t>kV</w:t>
      </w:r>
      <w:r>
        <w:rPr>
          <w:rFonts w:hint="eastAsia"/>
          <w:sz w:val="36"/>
          <w:szCs w:val="36"/>
        </w:rPr>
        <w:t>变电站灾后恢复重建改造工程</w:t>
      </w:r>
    </w:p>
    <w:p>
      <w:pPr>
        <w:jc w:val="center"/>
        <w:rPr>
          <w:bCs/>
          <w:sz w:val="36"/>
          <w:szCs w:val="36"/>
        </w:rPr>
      </w:pPr>
      <w:r>
        <w:rPr>
          <w:rFonts w:hint="eastAsia" w:hAnsi="宋体"/>
          <w:sz w:val="36"/>
          <w:szCs w:val="36"/>
        </w:rPr>
        <w:t>项目</w:t>
      </w:r>
      <w:r>
        <w:rPr>
          <w:rFonts w:hint="eastAsia" w:hAnsi="宋体"/>
          <w:bCs/>
          <w:sz w:val="36"/>
          <w:szCs w:val="36"/>
        </w:rPr>
        <w:t>竣工</w:t>
      </w:r>
      <w:r>
        <w:rPr>
          <w:rFonts w:hint="eastAsia" w:hAnsi="宋体"/>
          <w:bCs/>
          <w:spacing w:val="20"/>
          <w:sz w:val="36"/>
          <w:szCs w:val="36"/>
        </w:rPr>
        <w:t>环境保护验收调查表</w:t>
      </w:r>
    </w:p>
    <w:p>
      <w:pPr>
        <w:spacing w:line="360" w:lineRule="auto"/>
        <w:rPr>
          <w:rFonts w:hAnsi="Arial Unicode MS"/>
          <w:sz w:val="36"/>
        </w:rPr>
      </w:pPr>
    </w:p>
    <w:p>
      <w:pPr>
        <w:spacing w:line="360" w:lineRule="auto"/>
        <w:rPr>
          <w:rFonts w:hAnsi="Arial Unicode MS"/>
          <w:sz w:val="36"/>
        </w:rPr>
      </w:pPr>
    </w:p>
    <w:p>
      <w:pPr>
        <w:spacing w:line="360" w:lineRule="auto"/>
        <w:rPr>
          <w:rFonts w:hAnsi="Arial Unicode MS"/>
          <w:sz w:val="36"/>
        </w:rPr>
      </w:pPr>
    </w:p>
    <w:p>
      <w:pPr>
        <w:spacing w:line="360" w:lineRule="auto"/>
        <w:rPr>
          <w:rFonts w:hAnsi="Arial Unicode MS"/>
          <w:sz w:val="36"/>
        </w:rPr>
      </w:pPr>
    </w:p>
    <w:p>
      <w:pPr>
        <w:spacing w:line="360" w:lineRule="auto"/>
        <w:rPr>
          <w:rFonts w:hAnsi="Arial Unicode MS"/>
          <w:sz w:val="36"/>
        </w:rPr>
      </w:pPr>
    </w:p>
    <w:p>
      <w:pPr>
        <w:spacing w:line="360" w:lineRule="auto"/>
        <w:rPr>
          <w:sz w:val="36"/>
        </w:rPr>
      </w:pPr>
      <w:r>
        <w:rPr>
          <w:rFonts w:hint="eastAsia" w:hAnsi="Arial Unicode MS"/>
          <w:sz w:val="36"/>
        </w:rPr>
        <w:t>报告编写：</w:t>
      </w:r>
      <w:r>
        <w:rPr>
          <w:rFonts w:hint="eastAsia"/>
          <w:sz w:val="36"/>
        </w:rPr>
        <w:t xml:space="preserve"> </w:t>
      </w:r>
      <w:r>
        <w:rPr>
          <w:rFonts w:hint="eastAsia"/>
          <w:sz w:val="36"/>
          <w:lang w:eastAsia="zh-CN"/>
        </w:rPr>
        <w:t>秦思磊</w:t>
      </w:r>
      <w:r>
        <w:rPr>
          <w:rFonts w:hint="eastAsia"/>
          <w:sz w:val="36"/>
        </w:rPr>
        <w:t xml:space="preserve">  </w:t>
      </w:r>
    </w:p>
    <w:p>
      <w:pPr>
        <w:spacing w:line="360" w:lineRule="auto"/>
        <w:rPr>
          <w:rFonts w:hAnsi="Arial Unicode MS"/>
          <w:sz w:val="36"/>
        </w:rPr>
      </w:pPr>
    </w:p>
    <w:p>
      <w:pPr>
        <w:spacing w:line="360" w:lineRule="auto"/>
        <w:rPr>
          <w:sz w:val="36"/>
        </w:rPr>
      </w:pPr>
      <w:r>
        <w:rPr>
          <w:rFonts w:hint="eastAsia" w:hAnsi="Arial Unicode MS"/>
          <w:sz w:val="36"/>
        </w:rPr>
        <w:t>审</w:t>
      </w:r>
      <w:r>
        <w:rPr>
          <w:rFonts w:hint="eastAsia"/>
          <w:sz w:val="36"/>
        </w:rPr>
        <w:t xml:space="preserve">    </w:t>
      </w:r>
      <w:r>
        <w:rPr>
          <w:rFonts w:hint="eastAsia" w:hAnsi="Arial Unicode MS"/>
          <w:sz w:val="36"/>
        </w:rPr>
        <w:t>核：</w:t>
      </w:r>
      <w:r>
        <w:rPr>
          <w:rFonts w:hint="eastAsia"/>
          <w:sz w:val="36"/>
        </w:rPr>
        <w:t xml:space="preserve"> </w:t>
      </w:r>
      <w:r>
        <w:rPr>
          <w:rFonts w:hint="eastAsia"/>
          <w:sz w:val="36"/>
          <w:lang w:eastAsia="zh-CN"/>
        </w:rPr>
        <w:t>文</w:t>
      </w:r>
      <w:r>
        <w:rPr>
          <w:rFonts w:hint="eastAsia"/>
          <w:sz w:val="36"/>
          <w:lang w:val="en-US" w:eastAsia="zh-CN"/>
        </w:rPr>
        <w:t xml:space="preserve">  </w:t>
      </w:r>
      <w:r>
        <w:rPr>
          <w:rFonts w:hint="eastAsia"/>
          <w:sz w:val="36"/>
          <w:lang w:eastAsia="zh-CN"/>
        </w:rPr>
        <w:t>明</w:t>
      </w:r>
      <w:r>
        <w:rPr>
          <w:rFonts w:hint="eastAsia"/>
          <w:sz w:val="36"/>
        </w:rPr>
        <w:t xml:space="preserve">  </w:t>
      </w:r>
    </w:p>
    <w:p>
      <w:pPr>
        <w:spacing w:line="360" w:lineRule="auto"/>
        <w:rPr>
          <w:rFonts w:hAnsi="Arial Unicode MS"/>
          <w:sz w:val="36"/>
        </w:rPr>
      </w:pPr>
    </w:p>
    <w:p>
      <w:pPr>
        <w:spacing w:line="360" w:lineRule="auto"/>
        <w:rPr>
          <w:sz w:val="36"/>
        </w:rPr>
      </w:pPr>
      <w:r>
        <w:rPr>
          <w:rFonts w:hint="eastAsia" w:hAnsi="Arial Unicode MS"/>
          <w:sz w:val="36"/>
        </w:rPr>
        <w:t>签    发：</w:t>
      </w:r>
      <w:r>
        <w:rPr>
          <w:rFonts w:hint="eastAsia"/>
          <w:sz w:val="36"/>
        </w:rPr>
        <w:t xml:space="preserve"> </w:t>
      </w:r>
      <w:r>
        <w:rPr>
          <w:rFonts w:hint="eastAsia"/>
          <w:sz w:val="36"/>
          <w:lang w:eastAsia="zh-CN"/>
        </w:rPr>
        <w:t>陈</w:t>
      </w:r>
      <w:r>
        <w:rPr>
          <w:rFonts w:hint="eastAsia"/>
          <w:sz w:val="36"/>
          <w:lang w:val="en-US" w:eastAsia="zh-CN"/>
        </w:rPr>
        <w:t xml:space="preserve">  </w:t>
      </w:r>
      <w:r>
        <w:rPr>
          <w:rFonts w:hint="eastAsia"/>
          <w:sz w:val="36"/>
          <w:lang w:eastAsia="zh-CN"/>
        </w:rPr>
        <w:t>立</w:t>
      </w:r>
      <w:r>
        <w:rPr>
          <w:rFonts w:hint="eastAsia"/>
          <w:sz w:val="36"/>
        </w:rPr>
        <w:t xml:space="preserve"> </w:t>
      </w:r>
    </w:p>
    <w:p>
      <w:pPr>
        <w:rPr>
          <w:sz w:val="36"/>
        </w:rPr>
      </w:pPr>
      <w:bookmarkStart w:id="19" w:name="_GoBack"/>
      <w:bookmarkEnd w:id="19"/>
    </w:p>
    <w:p>
      <w:pPr>
        <w:rPr>
          <w:sz w:val="36"/>
        </w:rPr>
      </w:pPr>
    </w:p>
    <w:p>
      <w:pPr>
        <w:rPr>
          <w:rFonts w:hAnsi="Arial Unicode MS"/>
          <w:szCs w:val="28"/>
        </w:rPr>
      </w:pPr>
    </w:p>
    <w:p>
      <w:pPr>
        <w:rPr>
          <w:rFonts w:hAnsi="Arial Unicode MS"/>
          <w:szCs w:val="28"/>
        </w:rPr>
      </w:pPr>
    </w:p>
    <w:p>
      <w:pPr>
        <w:rPr>
          <w:rFonts w:hAnsi="Arial Unicode MS"/>
          <w:szCs w:val="28"/>
        </w:rPr>
      </w:pPr>
    </w:p>
    <w:p>
      <w:pPr>
        <w:spacing w:line="480" w:lineRule="auto"/>
        <w:rPr>
          <w:sz w:val="28"/>
          <w:szCs w:val="28"/>
        </w:rPr>
      </w:pPr>
      <w:r>
        <w:rPr>
          <w:rFonts w:hint="eastAsia" w:hAnsi="Arial Unicode MS"/>
          <w:sz w:val="28"/>
          <w:szCs w:val="28"/>
        </w:rPr>
        <w:t>四川省辐射环境管理监测中心站</w:t>
      </w:r>
    </w:p>
    <w:p>
      <w:pPr>
        <w:spacing w:line="480" w:lineRule="auto"/>
        <w:rPr>
          <w:sz w:val="28"/>
          <w:szCs w:val="28"/>
        </w:rPr>
      </w:pPr>
      <w:r>
        <w:rPr>
          <w:rFonts w:hint="eastAsia" w:hAnsi="Arial Unicode MS"/>
          <w:sz w:val="28"/>
          <w:szCs w:val="28"/>
        </w:rPr>
        <w:t>电话：</w:t>
      </w:r>
      <w:r>
        <w:rPr>
          <w:sz w:val="28"/>
          <w:szCs w:val="28"/>
        </w:rPr>
        <w:t xml:space="preserve">028-87774385   </w:t>
      </w:r>
    </w:p>
    <w:p>
      <w:pPr>
        <w:spacing w:line="480" w:lineRule="auto"/>
        <w:rPr>
          <w:sz w:val="28"/>
          <w:szCs w:val="28"/>
        </w:rPr>
      </w:pPr>
      <w:r>
        <w:rPr>
          <w:rFonts w:hint="eastAsia" w:hAnsi="Arial Unicode MS"/>
          <w:sz w:val="28"/>
          <w:szCs w:val="28"/>
        </w:rPr>
        <w:t>传真：</w:t>
      </w:r>
      <w:r>
        <w:rPr>
          <w:sz w:val="28"/>
          <w:szCs w:val="28"/>
        </w:rPr>
        <w:t>028-8773</w:t>
      </w:r>
      <w:r>
        <w:rPr>
          <w:rFonts w:hint="eastAsia"/>
          <w:sz w:val="28"/>
          <w:szCs w:val="28"/>
        </w:rPr>
        <w:t>3795</w:t>
      </w:r>
    </w:p>
    <w:p>
      <w:pPr>
        <w:spacing w:line="480" w:lineRule="auto"/>
        <w:rPr>
          <w:sz w:val="28"/>
          <w:szCs w:val="28"/>
        </w:rPr>
      </w:pPr>
      <w:r>
        <w:rPr>
          <w:rFonts w:hint="eastAsia" w:hAnsi="Arial Unicode MS"/>
          <w:sz w:val="28"/>
          <w:szCs w:val="28"/>
        </w:rPr>
        <w:t>邮编：</w:t>
      </w:r>
      <w:r>
        <w:rPr>
          <w:sz w:val="28"/>
          <w:szCs w:val="28"/>
        </w:rPr>
        <w:t>6</w:t>
      </w:r>
      <w:r>
        <w:rPr>
          <w:rFonts w:hint="eastAsia"/>
          <w:sz w:val="28"/>
          <w:szCs w:val="28"/>
        </w:rPr>
        <w:t>11139</w:t>
      </w:r>
    </w:p>
    <w:p>
      <w:pPr>
        <w:spacing w:line="480" w:lineRule="auto"/>
        <w:rPr>
          <w:rFonts w:hAnsi="Arial Unicode MS"/>
          <w:sz w:val="28"/>
          <w:szCs w:val="28"/>
        </w:rPr>
      </w:pPr>
      <w:r>
        <w:rPr>
          <w:rFonts w:hint="eastAsia" w:hAnsi="Arial Unicode MS"/>
          <w:sz w:val="28"/>
          <w:szCs w:val="28"/>
        </w:rPr>
        <w:t>地址：成都市温江花土路689号</w:t>
      </w:r>
    </w:p>
    <w:p>
      <w:pPr>
        <w:jc w:val="center"/>
        <w:rPr>
          <w:rFonts w:hAnsi="Arial Unicode MS"/>
          <w:b/>
          <w:bCs/>
          <w:sz w:val="36"/>
        </w:rPr>
      </w:pPr>
    </w:p>
    <w:p>
      <w:pPr>
        <w:jc w:val="center"/>
        <w:rPr>
          <w:rFonts w:hAnsi="Arial Unicode MS"/>
          <w:b/>
          <w:bCs/>
          <w:sz w:val="36"/>
        </w:rPr>
      </w:pPr>
    </w:p>
    <w:p>
      <w:pPr>
        <w:jc w:val="center"/>
        <w:rPr>
          <w:rFonts w:hAnsi="Arial Unicode MS"/>
          <w:b/>
          <w:bCs/>
          <w:sz w:val="36"/>
        </w:rPr>
        <w:sectPr>
          <w:pgSz w:w="11906" w:h="16838"/>
          <w:pgMar w:top="1440" w:right="1559" w:bottom="1440" w:left="1400" w:header="851" w:footer="992" w:gutter="0"/>
          <w:pgNumType w:start="1"/>
          <w:cols w:space="720" w:num="1"/>
          <w:docGrid w:type="lines" w:linePitch="312" w:charSpace="0"/>
        </w:sectPr>
      </w:pPr>
    </w:p>
    <w:p>
      <w:pPr>
        <w:jc w:val="center"/>
        <w:rPr>
          <w:rFonts w:hAnsi="Arial Unicode MS"/>
          <w:b/>
          <w:bCs/>
          <w:sz w:val="36"/>
        </w:rPr>
      </w:pPr>
      <w:r>
        <w:rPr>
          <w:rFonts w:hint="eastAsia" w:hAnsi="Arial Unicode MS"/>
          <w:b/>
          <w:bCs/>
          <w:sz w:val="36"/>
        </w:rPr>
        <w:t>目录</w:t>
      </w:r>
    </w:p>
    <w:p>
      <w:pPr>
        <w:jc w:val="center"/>
        <w:rPr>
          <w:b/>
          <w:bCs/>
          <w:sz w:val="36"/>
        </w:rPr>
      </w:pPr>
    </w:p>
    <w:p>
      <w:pPr>
        <w:pStyle w:val="9"/>
        <w:tabs>
          <w:tab w:val="right" w:leader="dot" w:pos="8296"/>
        </w:tabs>
        <w:spacing w:line="360" w:lineRule="auto"/>
        <w:rPr>
          <w:b/>
          <w:sz w:val="24"/>
        </w:rPr>
      </w:pPr>
      <w:r>
        <w:rPr>
          <w:b/>
          <w:sz w:val="24"/>
          <w:szCs w:val="24"/>
        </w:rPr>
        <w:fldChar w:fldCharType="begin"/>
      </w:r>
      <w:r>
        <w:rPr>
          <w:b/>
          <w:sz w:val="24"/>
          <w:szCs w:val="24"/>
        </w:rPr>
        <w:instrText xml:space="preserve"> TOC \o "1-3" \h \z \u </w:instrText>
      </w:r>
      <w:r>
        <w:rPr>
          <w:b/>
          <w:sz w:val="24"/>
          <w:szCs w:val="24"/>
        </w:rPr>
        <w:fldChar w:fldCharType="separate"/>
      </w:r>
      <w:r>
        <w:fldChar w:fldCharType="begin"/>
      </w:r>
      <w:r>
        <w:instrText xml:space="preserve"> HYPERLINK \l "_Toc483476019" </w:instrText>
      </w:r>
      <w:r>
        <w:fldChar w:fldCharType="separate"/>
      </w:r>
      <w:r>
        <w:rPr>
          <w:rFonts w:hint="eastAsia"/>
          <w:b/>
          <w:sz w:val="24"/>
        </w:rPr>
        <w:t>表一 工程总体情况</w:t>
      </w:r>
      <w:r>
        <w:rPr>
          <w:b/>
          <w:sz w:val="24"/>
        </w:rPr>
        <w:tab/>
      </w:r>
      <w:r>
        <w:rPr>
          <w:b/>
          <w:sz w:val="24"/>
        </w:rPr>
        <w:fldChar w:fldCharType="begin"/>
      </w:r>
      <w:r>
        <w:rPr>
          <w:b/>
          <w:sz w:val="24"/>
        </w:rPr>
        <w:instrText xml:space="preserve"> PAGEREF _Toc483476019 \h </w:instrText>
      </w:r>
      <w:r>
        <w:rPr>
          <w:b/>
          <w:sz w:val="24"/>
        </w:rPr>
        <w:fldChar w:fldCharType="separate"/>
      </w:r>
      <w:r>
        <w:rPr>
          <w:b/>
          <w:sz w:val="24"/>
        </w:rPr>
        <w:t>1</w:t>
      </w:r>
      <w:r>
        <w:rPr>
          <w:b/>
          <w:sz w:val="24"/>
        </w:rPr>
        <w:fldChar w:fldCharType="end"/>
      </w:r>
      <w:r>
        <w:rPr>
          <w:b/>
          <w:sz w:val="24"/>
        </w:rPr>
        <w:fldChar w:fldCharType="end"/>
      </w:r>
    </w:p>
    <w:p>
      <w:pPr>
        <w:pStyle w:val="9"/>
        <w:tabs>
          <w:tab w:val="right" w:leader="dot" w:pos="8296"/>
        </w:tabs>
        <w:spacing w:line="360" w:lineRule="auto"/>
        <w:rPr>
          <w:b/>
          <w:sz w:val="24"/>
        </w:rPr>
      </w:pPr>
      <w:r>
        <w:fldChar w:fldCharType="begin"/>
      </w:r>
      <w:r>
        <w:instrText xml:space="preserve"> HYPERLINK \l "_Toc483476020" </w:instrText>
      </w:r>
      <w:r>
        <w:fldChar w:fldCharType="separate"/>
      </w:r>
      <w:r>
        <w:rPr>
          <w:rFonts w:hint="eastAsia"/>
          <w:b/>
          <w:sz w:val="24"/>
        </w:rPr>
        <w:t>表二 调查范围、环境监测因子、敏感目标、调查重点</w:t>
      </w:r>
      <w:r>
        <w:rPr>
          <w:b/>
          <w:sz w:val="24"/>
        </w:rPr>
        <w:tab/>
      </w:r>
      <w:r>
        <w:rPr>
          <w:b/>
          <w:sz w:val="24"/>
        </w:rPr>
        <w:fldChar w:fldCharType="begin"/>
      </w:r>
      <w:r>
        <w:rPr>
          <w:b/>
          <w:sz w:val="24"/>
        </w:rPr>
        <w:instrText xml:space="preserve"> PAGEREF _Toc483476020 \h </w:instrText>
      </w:r>
      <w:r>
        <w:rPr>
          <w:b/>
          <w:sz w:val="24"/>
        </w:rPr>
        <w:fldChar w:fldCharType="separate"/>
      </w:r>
      <w:r>
        <w:rPr>
          <w:b/>
          <w:sz w:val="24"/>
        </w:rPr>
        <w:t>3</w:t>
      </w:r>
      <w:r>
        <w:rPr>
          <w:b/>
          <w:sz w:val="24"/>
        </w:rPr>
        <w:fldChar w:fldCharType="end"/>
      </w:r>
      <w:r>
        <w:rPr>
          <w:b/>
          <w:sz w:val="24"/>
        </w:rPr>
        <w:fldChar w:fldCharType="end"/>
      </w:r>
    </w:p>
    <w:p>
      <w:pPr>
        <w:pStyle w:val="9"/>
        <w:tabs>
          <w:tab w:val="right" w:leader="dot" w:pos="8296"/>
        </w:tabs>
        <w:spacing w:line="360" w:lineRule="auto"/>
        <w:rPr>
          <w:b/>
          <w:sz w:val="24"/>
        </w:rPr>
      </w:pPr>
      <w:r>
        <w:fldChar w:fldCharType="begin"/>
      </w:r>
      <w:r>
        <w:instrText xml:space="preserve"> HYPERLINK \l "_Toc483476021" </w:instrText>
      </w:r>
      <w:r>
        <w:fldChar w:fldCharType="separate"/>
      </w:r>
      <w:r>
        <w:rPr>
          <w:rFonts w:hint="eastAsia"/>
          <w:b/>
          <w:sz w:val="24"/>
        </w:rPr>
        <w:t>表三 验收执行标准</w:t>
      </w:r>
      <w:r>
        <w:rPr>
          <w:b/>
          <w:sz w:val="24"/>
        </w:rPr>
        <w:tab/>
      </w:r>
      <w:r>
        <w:rPr>
          <w:b/>
          <w:sz w:val="24"/>
        </w:rPr>
        <w:fldChar w:fldCharType="begin"/>
      </w:r>
      <w:r>
        <w:rPr>
          <w:b/>
          <w:sz w:val="24"/>
        </w:rPr>
        <w:instrText xml:space="preserve"> PAGEREF _Toc483476021 \h </w:instrText>
      </w:r>
      <w:r>
        <w:rPr>
          <w:b/>
          <w:sz w:val="24"/>
        </w:rPr>
        <w:fldChar w:fldCharType="separate"/>
      </w:r>
      <w:r>
        <w:rPr>
          <w:b/>
          <w:sz w:val="24"/>
        </w:rPr>
        <w:t>6</w:t>
      </w:r>
      <w:r>
        <w:rPr>
          <w:b/>
          <w:sz w:val="24"/>
        </w:rPr>
        <w:fldChar w:fldCharType="end"/>
      </w:r>
      <w:r>
        <w:rPr>
          <w:b/>
          <w:sz w:val="24"/>
        </w:rPr>
        <w:fldChar w:fldCharType="end"/>
      </w:r>
    </w:p>
    <w:p>
      <w:pPr>
        <w:pStyle w:val="9"/>
        <w:tabs>
          <w:tab w:val="right" w:leader="dot" w:pos="8296"/>
        </w:tabs>
        <w:spacing w:line="360" w:lineRule="auto"/>
        <w:rPr>
          <w:b/>
          <w:sz w:val="24"/>
        </w:rPr>
      </w:pPr>
      <w:r>
        <w:fldChar w:fldCharType="begin"/>
      </w:r>
      <w:r>
        <w:instrText xml:space="preserve"> HYPERLINK \l "_Toc483476022" </w:instrText>
      </w:r>
      <w:r>
        <w:fldChar w:fldCharType="separate"/>
      </w:r>
      <w:r>
        <w:rPr>
          <w:rFonts w:hint="eastAsia"/>
          <w:b/>
          <w:sz w:val="24"/>
        </w:rPr>
        <w:t>表四工程概况</w:t>
      </w:r>
      <w:r>
        <w:rPr>
          <w:b/>
          <w:sz w:val="24"/>
        </w:rPr>
        <w:tab/>
      </w:r>
      <w:r>
        <w:rPr>
          <w:b/>
          <w:sz w:val="24"/>
        </w:rPr>
        <w:fldChar w:fldCharType="begin"/>
      </w:r>
      <w:r>
        <w:rPr>
          <w:b/>
          <w:sz w:val="24"/>
        </w:rPr>
        <w:instrText xml:space="preserve"> PAGEREF _Toc483476022 \h </w:instrText>
      </w:r>
      <w:r>
        <w:rPr>
          <w:b/>
          <w:sz w:val="24"/>
        </w:rPr>
        <w:fldChar w:fldCharType="separate"/>
      </w:r>
      <w:r>
        <w:rPr>
          <w:b/>
          <w:sz w:val="24"/>
        </w:rPr>
        <w:t>7</w:t>
      </w:r>
      <w:r>
        <w:rPr>
          <w:b/>
          <w:sz w:val="24"/>
        </w:rPr>
        <w:fldChar w:fldCharType="end"/>
      </w:r>
      <w:r>
        <w:rPr>
          <w:b/>
          <w:sz w:val="24"/>
        </w:rPr>
        <w:fldChar w:fldCharType="end"/>
      </w:r>
    </w:p>
    <w:p>
      <w:pPr>
        <w:pStyle w:val="9"/>
        <w:tabs>
          <w:tab w:val="right" w:leader="dot" w:pos="8296"/>
        </w:tabs>
        <w:spacing w:line="360" w:lineRule="auto"/>
        <w:rPr>
          <w:b/>
          <w:sz w:val="24"/>
        </w:rPr>
      </w:pPr>
      <w:r>
        <w:fldChar w:fldCharType="begin"/>
      </w:r>
      <w:r>
        <w:instrText xml:space="preserve"> HYPERLINK \l "_Toc483476023" </w:instrText>
      </w:r>
      <w:r>
        <w:fldChar w:fldCharType="separate"/>
      </w:r>
      <w:r>
        <w:rPr>
          <w:rFonts w:hint="eastAsia"/>
          <w:b/>
          <w:sz w:val="24"/>
        </w:rPr>
        <w:t>表五 环境影响评价回顾</w:t>
      </w:r>
      <w:r>
        <w:rPr>
          <w:b/>
          <w:sz w:val="24"/>
        </w:rPr>
        <w:tab/>
      </w:r>
      <w:r>
        <w:rPr>
          <w:b/>
          <w:sz w:val="24"/>
        </w:rPr>
        <w:fldChar w:fldCharType="begin"/>
      </w:r>
      <w:r>
        <w:rPr>
          <w:b/>
          <w:sz w:val="24"/>
        </w:rPr>
        <w:instrText xml:space="preserve"> PAGEREF _Toc483476023 \h </w:instrText>
      </w:r>
      <w:r>
        <w:rPr>
          <w:b/>
          <w:sz w:val="24"/>
        </w:rPr>
        <w:fldChar w:fldCharType="separate"/>
      </w:r>
      <w:r>
        <w:rPr>
          <w:b/>
          <w:sz w:val="24"/>
        </w:rPr>
        <w:t>11</w:t>
      </w:r>
      <w:r>
        <w:rPr>
          <w:b/>
          <w:sz w:val="24"/>
        </w:rPr>
        <w:fldChar w:fldCharType="end"/>
      </w:r>
      <w:r>
        <w:rPr>
          <w:b/>
          <w:sz w:val="24"/>
        </w:rPr>
        <w:fldChar w:fldCharType="end"/>
      </w:r>
    </w:p>
    <w:p>
      <w:pPr>
        <w:pStyle w:val="9"/>
        <w:tabs>
          <w:tab w:val="right" w:leader="dot" w:pos="8296"/>
        </w:tabs>
        <w:spacing w:line="360" w:lineRule="auto"/>
        <w:rPr>
          <w:b/>
          <w:sz w:val="24"/>
        </w:rPr>
      </w:pPr>
      <w:r>
        <w:fldChar w:fldCharType="begin"/>
      </w:r>
      <w:r>
        <w:instrText xml:space="preserve"> HYPERLINK \l "_Toc483476024" </w:instrText>
      </w:r>
      <w:r>
        <w:fldChar w:fldCharType="separate"/>
      </w:r>
      <w:r>
        <w:rPr>
          <w:rFonts w:hint="eastAsia"/>
          <w:b/>
          <w:sz w:val="24"/>
        </w:rPr>
        <w:t>表六 环境保护措施执行情况</w:t>
      </w:r>
      <w:r>
        <w:rPr>
          <w:b/>
          <w:sz w:val="24"/>
        </w:rPr>
        <w:tab/>
      </w:r>
      <w:r>
        <w:rPr>
          <w:b/>
          <w:sz w:val="24"/>
        </w:rPr>
        <w:fldChar w:fldCharType="begin"/>
      </w:r>
      <w:r>
        <w:rPr>
          <w:b/>
          <w:sz w:val="24"/>
        </w:rPr>
        <w:instrText xml:space="preserve"> PAGEREF _Toc483476024 \h </w:instrText>
      </w:r>
      <w:r>
        <w:rPr>
          <w:b/>
          <w:sz w:val="24"/>
        </w:rPr>
        <w:fldChar w:fldCharType="separate"/>
      </w:r>
      <w:r>
        <w:rPr>
          <w:b/>
          <w:sz w:val="24"/>
        </w:rPr>
        <w:t>12</w:t>
      </w:r>
      <w:r>
        <w:rPr>
          <w:b/>
          <w:sz w:val="24"/>
        </w:rPr>
        <w:fldChar w:fldCharType="end"/>
      </w:r>
      <w:r>
        <w:rPr>
          <w:b/>
          <w:sz w:val="24"/>
        </w:rPr>
        <w:fldChar w:fldCharType="end"/>
      </w:r>
    </w:p>
    <w:p>
      <w:pPr>
        <w:pStyle w:val="9"/>
        <w:tabs>
          <w:tab w:val="right" w:leader="dot" w:pos="8296"/>
        </w:tabs>
        <w:spacing w:line="360" w:lineRule="auto"/>
        <w:rPr>
          <w:b/>
          <w:sz w:val="24"/>
        </w:rPr>
      </w:pPr>
      <w:r>
        <w:fldChar w:fldCharType="begin"/>
      </w:r>
      <w:r>
        <w:instrText xml:space="preserve"> HYPERLINK \l "_Toc483476025" </w:instrText>
      </w:r>
      <w:r>
        <w:fldChar w:fldCharType="separate"/>
      </w:r>
      <w:r>
        <w:rPr>
          <w:rFonts w:hint="eastAsia"/>
          <w:b/>
          <w:sz w:val="24"/>
        </w:rPr>
        <w:t>表七  电磁环境、声环境监测</w:t>
      </w:r>
      <w:r>
        <w:rPr>
          <w:b/>
          <w:sz w:val="24"/>
        </w:rPr>
        <w:tab/>
      </w:r>
      <w:r>
        <w:rPr>
          <w:rFonts w:hint="eastAsia"/>
          <w:b/>
          <w:sz w:val="24"/>
        </w:rPr>
        <w:t>1</w:t>
      </w:r>
      <w:r>
        <w:rPr>
          <w:rFonts w:hint="eastAsia"/>
          <w:b/>
          <w:sz w:val="24"/>
        </w:rPr>
        <w:fldChar w:fldCharType="end"/>
      </w:r>
      <w:r>
        <w:rPr>
          <w:rFonts w:hint="eastAsia"/>
          <w:b/>
          <w:sz w:val="24"/>
        </w:rPr>
        <w:t>5</w:t>
      </w:r>
    </w:p>
    <w:p>
      <w:pPr>
        <w:pStyle w:val="9"/>
        <w:tabs>
          <w:tab w:val="right" w:leader="dot" w:pos="8296"/>
        </w:tabs>
        <w:spacing w:line="360" w:lineRule="auto"/>
        <w:rPr>
          <w:b/>
          <w:sz w:val="24"/>
        </w:rPr>
      </w:pPr>
      <w:r>
        <w:fldChar w:fldCharType="begin"/>
      </w:r>
      <w:r>
        <w:instrText xml:space="preserve"> HYPERLINK \l "_Toc483476030" </w:instrText>
      </w:r>
      <w:r>
        <w:fldChar w:fldCharType="separate"/>
      </w:r>
      <w:r>
        <w:rPr>
          <w:rFonts w:hint="eastAsia"/>
          <w:b/>
          <w:sz w:val="24"/>
        </w:rPr>
        <w:t>表八  环境影响调查</w:t>
      </w:r>
      <w:r>
        <w:rPr>
          <w:b/>
          <w:sz w:val="24"/>
        </w:rPr>
        <w:tab/>
      </w:r>
      <w:r>
        <w:rPr>
          <w:rFonts w:hint="eastAsia"/>
          <w:b/>
          <w:sz w:val="24"/>
        </w:rPr>
        <w:t>2</w:t>
      </w:r>
      <w:r>
        <w:rPr>
          <w:rFonts w:hint="eastAsia"/>
          <w:b/>
          <w:sz w:val="24"/>
        </w:rPr>
        <w:fldChar w:fldCharType="end"/>
      </w:r>
      <w:r>
        <w:rPr>
          <w:rFonts w:hint="eastAsia"/>
          <w:b/>
          <w:sz w:val="24"/>
        </w:rPr>
        <w:t>0</w:t>
      </w:r>
    </w:p>
    <w:p>
      <w:pPr>
        <w:pStyle w:val="9"/>
        <w:tabs>
          <w:tab w:val="right" w:leader="dot" w:pos="8296"/>
        </w:tabs>
        <w:spacing w:line="360" w:lineRule="auto"/>
        <w:rPr>
          <w:b/>
          <w:sz w:val="24"/>
        </w:rPr>
      </w:pPr>
      <w:r>
        <w:fldChar w:fldCharType="begin"/>
      </w:r>
      <w:r>
        <w:instrText xml:space="preserve"> HYPERLINK \l "_Toc483476031" </w:instrText>
      </w:r>
      <w:r>
        <w:fldChar w:fldCharType="separate"/>
      </w:r>
      <w:r>
        <w:rPr>
          <w:rFonts w:hint="eastAsia"/>
          <w:b/>
          <w:sz w:val="24"/>
        </w:rPr>
        <w:t>表九  环境管理及监测计划</w:t>
      </w:r>
      <w:r>
        <w:rPr>
          <w:b/>
          <w:sz w:val="24"/>
        </w:rPr>
        <w:tab/>
      </w:r>
      <w:r>
        <w:rPr>
          <w:b/>
          <w:sz w:val="24"/>
        </w:rPr>
        <w:fldChar w:fldCharType="begin"/>
      </w:r>
      <w:r>
        <w:rPr>
          <w:b/>
          <w:sz w:val="24"/>
        </w:rPr>
        <w:instrText xml:space="preserve"> PAGEREF _Toc483476031 \h </w:instrText>
      </w:r>
      <w:r>
        <w:rPr>
          <w:b/>
          <w:sz w:val="24"/>
        </w:rPr>
        <w:fldChar w:fldCharType="separate"/>
      </w:r>
      <w:r>
        <w:rPr>
          <w:b/>
          <w:sz w:val="24"/>
        </w:rPr>
        <w:t>2</w:t>
      </w:r>
      <w:r>
        <w:rPr>
          <w:rFonts w:hint="eastAsia"/>
          <w:b/>
          <w:sz w:val="24"/>
        </w:rPr>
        <w:t>2</w:t>
      </w:r>
      <w:r>
        <w:rPr>
          <w:b/>
          <w:sz w:val="24"/>
        </w:rPr>
        <w:fldChar w:fldCharType="end"/>
      </w:r>
      <w:r>
        <w:rPr>
          <w:b/>
          <w:sz w:val="24"/>
        </w:rPr>
        <w:fldChar w:fldCharType="end"/>
      </w:r>
    </w:p>
    <w:p>
      <w:pPr>
        <w:pStyle w:val="9"/>
        <w:tabs>
          <w:tab w:val="right" w:leader="dot" w:pos="8296"/>
        </w:tabs>
        <w:spacing w:line="360" w:lineRule="auto"/>
        <w:rPr>
          <w:rFonts w:asciiTheme="minorHAnsi" w:hAnsiTheme="minorHAnsi" w:eastAsiaTheme="minorEastAsia" w:cstheme="minorBidi"/>
        </w:rPr>
      </w:pPr>
      <w:r>
        <w:fldChar w:fldCharType="begin"/>
      </w:r>
      <w:r>
        <w:instrText xml:space="preserve"> HYPERLINK \l "_Toc483476032" </w:instrText>
      </w:r>
      <w:r>
        <w:fldChar w:fldCharType="separate"/>
      </w:r>
      <w:r>
        <w:rPr>
          <w:rFonts w:hint="eastAsia"/>
          <w:b/>
          <w:sz w:val="24"/>
        </w:rPr>
        <w:t>表十 竣工环保验收调查结论与建议</w:t>
      </w:r>
      <w:r>
        <w:rPr>
          <w:b/>
          <w:sz w:val="24"/>
        </w:rPr>
        <w:tab/>
      </w:r>
      <w:r>
        <w:rPr>
          <w:b/>
          <w:sz w:val="24"/>
        </w:rPr>
        <w:fldChar w:fldCharType="begin"/>
      </w:r>
      <w:r>
        <w:rPr>
          <w:b/>
          <w:sz w:val="24"/>
        </w:rPr>
        <w:instrText xml:space="preserve"> PAGEREF _Toc483476032 \h </w:instrText>
      </w:r>
      <w:r>
        <w:rPr>
          <w:b/>
          <w:sz w:val="24"/>
        </w:rPr>
        <w:fldChar w:fldCharType="separate"/>
      </w:r>
      <w:r>
        <w:rPr>
          <w:b/>
          <w:sz w:val="24"/>
        </w:rPr>
        <w:t>2</w:t>
      </w:r>
      <w:r>
        <w:rPr>
          <w:rFonts w:hint="eastAsia"/>
          <w:b/>
          <w:sz w:val="24"/>
        </w:rPr>
        <w:t>3</w:t>
      </w:r>
      <w:r>
        <w:rPr>
          <w:b/>
          <w:sz w:val="24"/>
        </w:rPr>
        <w:fldChar w:fldCharType="end"/>
      </w:r>
      <w:r>
        <w:rPr>
          <w:b/>
          <w:sz w:val="24"/>
        </w:rPr>
        <w:fldChar w:fldCharType="end"/>
      </w:r>
    </w:p>
    <w:p>
      <w:pPr>
        <w:spacing w:line="360" w:lineRule="auto"/>
        <w:rPr>
          <w:b/>
          <w:sz w:val="24"/>
        </w:rPr>
      </w:pPr>
      <w:r>
        <w:rPr>
          <w:b/>
          <w:sz w:val="24"/>
          <w:szCs w:val="24"/>
        </w:rPr>
        <w:fldChar w:fldCharType="end"/>
      </w:r>
      <w:r>
        <w:rPr>
          <w:b/>
          <w:sz w:val="24"/>
        </w:rPr>
        <w:t>附件：</w:t>
      </w:r>
    </w:p>
    <w:p>
      <w:pPr>
        <w:spacing w:line="360" w:lineRule="auto"/>
        <w:rPr>
          <w:sz w:val="24"/>
        </w:rPr>
      </w:pPr>
      <w:r>
        <w:rPr>
          <w:sz w:val="24"/>
        </w:rPr>
        <w:t>1、</w:t>
      </w:r>
      <w:r>
        <w:rPr>
          <w:rFonts w:hint="eastAsia"/>
          <w:sz w:val="24"/>
        </w:rPr>
        <w:t>项目核准文件</w:t>
      </w:r>
    </w:p>
    <w:p>
      <w:pPr>
        <w:spacing w:line="360" w:lineRule="auto"/>
        <w:rPr>
          <w:sz w:val="24"/>
        </w:rPr>
      </w:pPr>
      <w:r>
        <w:rPr>
          <w:sz w:val="24"/>
        </w:rPr>
        <w:t>2、</w:t>
      </w:r>
      <w:r>
        <w:rPr>
          <w:rFonts w:hint="eastAsia"/>
          <w:sz w:val="24"/>
        </w:rPr>
        <w:t>环评批复</w:t>
      </w:r>
    </w:p>
    <w:p>
      <w:pPr>
        <w:spacing w:line="360" w:lineRule="auto"/>
        <w:rPr>
          <w:sz w:val="24"/>
        </w:rPr>
      </w:pPr>
      <w:r>
        <w:rPr>
          <w:sz w:val="24"/>
        </w:rPr>
        <w:t>3、</w:t>
      </w:r>
      <w:r>
        <w:rPr>
          <w:rFonts w:hint="eastAsia"/>
          <w:sz w:val="24"/>
        </w:rPr>
        <w:t>环评执行标准函</w:t>
      </w:r>
    </w:p>
    <w:p>
      <w:pPr>
        <w:spacing w:line="360" w:lineRule="auto"/>
        <w:rPr>
          <w:sz w:val="24"/>
        </w:rPr>
      </w:pPr>
      <w:r>
        <w:rPr>
          <w:sz w:val="24"/>
        </w:rPr>
        <w:t>4、</w:t>
      </w:r>
      <w:r>
        <w:rPr>
          <w:rFonts w:hint="eastAsia"/>
          <w:sz w:val="24"/>
        </w:rPr>
        <w:t>竣工环境保护验收监测报告</w:t>
      </w:r>
    </w:p>
    <w:p>
      <w:pPr>
        <w:spacing w:line="360" w:lineRule="auto"/>
        <w:rPr>
          <w:sz w:val="24"/>
        </w:rPr>
      </w:pPr>
      <w:r>
        <w:rPr>
          <w:sz w:val="24"/>
        </w:rPr>
        <w:t>5、</w:t>
      </w:r>
      <w:r>
        <w:rPr>
          <w:rFonts w:hint="eastAsia"/>
          <w:sz w:val="24"/>
        </w:rPr>
        <w:t>三同时表</w:t>
      </w:r>
    </w:p>
    <w:p>
      <w:pPr>
        <w:spacing w:line="360" w:lineRule="auto"/>
        <w:rPr>
          <w:sz w:val="24"/>
        </w:rPr>
      </w:pPr>
      <w:r>
        <w:rPr>
          <w:rFonts w:hint="eastAsia"/>
          <w:sz w:val="24"/>
        </w:rPr>
        <w:t>6、</w:t>
      </w:r>
      <w:r>
        <w:rPr>
          <w:sz w:val="24"/>
        </w:rPr>
        <w:t>关于验收项目的情况说明</w:t>
      </w:r>
    </w:p>
    <w:p>
      <w:pPr>
        <w:spacing w:line="360" w:lineRule="auto"/>
        <w:rPr>
          <w:b/>
          <w:sz w:val="24"/>
        </w:rPr>
      </w:pPr>
      <w:r>
        <w:rPr>
          <w:b/>
          <w:sz w:val="24"/>
        </w:rPr>
        <w:t>附图：</w:t>
      </w:r>
    </w:p>
    <w:p>
      <w:pPr>
        <w:numPr>
          <w:ilvl w:val="0"/>
          <w:numId w:val="1"/>
        </w:numPr>
        <w:spacing w:line="360" w:lineRule="auto"/>
        <w:rPr>
          <w:sz w:val="24"/>
          <w:szCs w:val="24"/>
        </w:rPr>
      </w:pPr>
      <w:r>
        <w:rPr>
          <w:rFonts w:hint="eastAsia"/>
          <w:sz w:val="24"/>
          <w:szCs w:val="24"/>
        </w:rPr>
        <w:t>平通110kV 变电站平面布置图</w:t>
      </w:r>
    </w:p>
    <w:p>
      <w:pPr>
        <w:numPr>
          <w:ilvl w:val="0"/>
          <w:numId w:val="1"/>
        </w:numPr>
        <w:spacing w:line="360" w:lineRule="auto"/>
        <w:rPr>
          <w:sz w:val="24"/>
          <w:szCs w:val="24"/>
        </w:rPr>
      </w:pPr>
      <w:r>
        <w:rPr>
          <w:rFonts w:hint="eastAsia"/>
          <w:sz w:val="24"/>
          <w:szCs w:val="24"/>
        </w:rPr>
        <w:t>现场照片</w:t>
      </w: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ectPr>
          <w:pgSz w:w="11906" w:h="16838"/>
          <w:pgMar w:top="1440" w:right="1800" w:bottom="1440" w:left="1800" w:header="851" w:footer="992" w:gutter="0"/>
          <w:cols w:space="720" w:num="1"/>
          <w:docGrid w:type="lines" w:linePitch="312" w:charSpace="0"/>
        </w:sectPr>
      </w:pPr>
    </w:p>
    <w:p>
      <w:pPr>
        <w:pStyle w:val="2"/>
        <w:spacing w:before="0" w:after="0" w:line="360" w:lineRule="auto"/>
        <w:rPr>
          <w:rFonts w:ascii="宋体" w:hAnsi="宋体"/>
          <w:sz w:val="32"/>
          <w:szCs w:val="32"/>
        </w:rPr>
      </w:pPr>
      <w:bookmarkStart w:id="0" w:name="_Toc483476019"/>
      <w:r>
        <w:rPr>
          <w:rFonts w:hint="eastAsia" w:ascii="宋体" w:hAnsi="宋体"/>
          <w:sz w:val="32"/>
          <w:szCs w:val="32"/>
        </w:rPr>
        <w:t>表一 工程总体情况</w:t>
      </w:r>
      <w:bookmarkEnd w:id="0"/>
    </w:p>
    <w:tbl>
      <w:tblPr>
        <w:tblStyle w:val="17"/>
        <w:tblW w:w="92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1735"/>
        <w:gridCol w:w="551"/>
        <w:gridCol w:w="720"/>
        <w:gridCol w:w="402"/>
        <w:gridCol w:w="80"/>
        <w:gridCol w:w="778"/>
        <w:gridCol w:w="837"/>
        <w:gridCol w:w="423"/>
        <w:gridCol w:w="720"/>
        <w:gridCol w:w="203"/>
        <w:gridCol w:w="214"/>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9" w:type="dxa"/>
            <w:tcBorders>
              <w:top w:val="single" w:color="auto" w:sz="12" w:space="0"/>
              <w:left w:val="single" w:color="auto" w:sz="12" w:space="0"/>
            </w:tcBorders>
            <w:vAlign w:val="center"/>
          </w:tcPr>
          <w:p>
            <w:pPr>
              <w:spacing w:line="360" w:lineRule="auto"/>
              <w:jc w:val="center"/>
              <w:rPr>
                <w:sz w:val="24"/>
                <w:szCs w:val="24"/>
              </w:rPr>
            </w:pPr>
            <w:r>
              <w:rPr>
                <w:sz w:val="24"/>
                <w:szCs w:val="24"/>
              </w:rPr>
              <w:t>项目名称</w:t>
            </w:r>
          </w:p>
        </w:tc>
        <w:tc>
          <w:tcPr>
            <w:tcW w:w="7637" w:type="dxa"/>
            <w:gridSpan w:val="12"/>
            <w:tcBorders>
              <w:top w:val="single" w:color="auto" w:sz="12" w:space="0"/>
              <w:right w:val="single" w:color="auto" w:sz="12" w:space="0"/>
            </w:tcBorders>
            <w:vAlign w:val="center"/>
          </w:tcPr>
          <w:p>
            <w:pPr>
              <w:spacing w:line="360" w:lineRule="auto"/>
              <w:jc w:val="center"/>
              <w:rPr>
                <w:sz w:val="24"/>
                <w:szCs w:val="24"/>
              </w:rPr>
            </w:pPr>
            <w:r>
              <w:rPr>
                <w:rFonts w:hint="eastAsia"/>
                <w:sz w:val="24"/>
                <w:szCs w:val="24"/>
              </w:rPr>
              <w:t>平武县龙安35千伏变电站灾后恢复重建改造工程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9" w:type="dxa"/>
            <w:tcBorders>
              <w:left w:val="single" w:color="auto" w:sz="12" w:space="0"/>
            </w:tcBorders>
            <w:vAlign w:val="center"/>
          </w:tcPr>
          <w:p>
            <w:pPr>
              <w:spacing w:line="360" w:lineRule="auto"/>
              <w:jc w:val="center"/>
              <w:rPr>
                <w:sz w:val="24"/>
                <w:szCs w:val="24"/>
              </w:rPr>
            </w:pPr>
            <w:r>
              <w:rPr>
                <w:sz w:val="24"/>
                <w:szCs w:val="24"/>
              </w:rPr>
              <w:t>建设单位</w:t>
            </w:r>
          </w:p>
        </w:tc>
        <w:tc>
          <w:tcPr>
            <w:tcW w:w="7637" w:type="dxa"/>
            <w:gridSpan w:val="12"/>
            <w:tcBorders>
              <w:right w:val="single" w:color="auto" w:sz="12" w:space="0"/>
            </w:tcBorders>
            <w:vAlign w:val="center"/>
          </w:tcPr>
          <w:p>
            <w:pPr>
              <w:spacing w:line="360" w:lineRule="auto"/>
              <w:jc w:val="center"/>
              <w:rPr>
                <w:sz w:val="24"/>
                <w:szCs w:val="24"/>
              </w:rPr>
            </w:pPr>
            <w:r>
              <w:rPr>
                <w:rFonts w:hint="eastAsia"/>
                <w:sz w:val="24"/>
                <w:szCs w:val="24"/>
              </w:rPr>
              <w:t>四川省平武电力（集团）有限公司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9" w:type="dxa"/>
            <w:tcBorders>
              <w:left w:val="single" w:color="auto" w:sz="12" w:space="0"/>
            </w:tcBorders>
            <w:vAlign w:val="center"/>
          </w:tcPr>
          <w:p>
            <w:pPr>
              <w:spacing w:line="360" w:lineRule="auto"/>
              <w:jc w:val="center"/>
              <w:rPr>
                <w:sz w:val="24"/>
                <w:szCs w:val="24"/>
              </w:rPr>
            </w:pPr>
            <w:r>
              <w:rPr>
                <w:sz w:val="24"/>
                <w:szCs w:val="24"/>
              </w:rPr>
              <w:t>法人代表</w:t>
            </w:r>
          </w:p>
        </w:tc>
        <w:tc>
          <w:tcPr>
            <w:tcW w:w="3488" w:type="dxa"/>
            <w:gridSpan w:val="5"/>
            <w:vAlign w:val="center"/>
          </w:tcPr>
          <w:p>
            <w:pPr>
              <w:spacing w:line="360" w:lineRule="auto"/>
              <w:jc w:val="center"/>
              <w:rPr>
                <w:rFonts w:ascii="宋体" w:hAnsi="宋体" w:cs="宋体"/>
                <w:kern w:val="0"/>
                <w:sz w:val="24"/>
                <w:szCs w:val="24"/>
              </w:rPr>
            </w:pPr>
            <w:r>
              <w:rPr>
                <w:rFonts w:hint="eastAsia" w:ascii="宋体" w:hAnsi="宋体" w:cs="宋体"/>
                <w:kern w:val="0"/>
                <w:sz w:val="24"/>
                <w:szCs w:val="24"/>
              </w:rPr>
              <w:t>浦毅泉</w:t>
            </w:r>
          </w:p>
        </w:tc>
        <w:tc>
          <w:tcPr>
            <w:tcW w:w="2038" w:type="dxa"/>
            <w:gridSpan w:val="3"/>
            <w:vAlign w:val="center"/>
          </w:tcPr>
          <w:p>
            <w:pPr>
              <w:spacing w:line="360" w:lineRule="auto"/>
              <w:jc w:val="center"/>
              <w:rPr>
                <w:sz w:val="24"/>
                <w:szCs w:val="24"/>
              </w:rPr>
            </w:pPr>
            <w:r>
              <w:rPr>
                <w:sz w:val="24"/>
                <w:szCs w:val="24"/>
              </w:rPr>
              <w:t>联 系 人</w:t>
            </w:r>
          </w:p>
        </w:tc>
        <w:tc>
          <w:tcPr>
            <w:tcW w:w="2111" w:type="dxa"/>
            <w:gridSpan w:val="4"/>
            <w:tcBorders>
              <w:right w:val="single" w:color="auto" w:sz="12" w:space="0"/>
            </w:tcBorders>
            <w:vAlign w:val="center"/>
          </w:tcPr>
          <w:p>
            <w:pPr>
              <w:spacing w:line="360" w:lineRule="auto"/>
              <w:jc w:val="center"/>
              <w:rPr>
                <w:sz w:val="24"/>
                <w:szCs w:val="24"/>
              </w:rPr>
            </w:pPr>
            <w:r>
              <w:rPr>
                <w:rFonts w:hint="eastAsia"/>
                <w:bCs/>
                <w:sz w:val="24"/>
              </w:rPr>
              <w:t>胡成刚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9" w:type="dxa"/>
            <w:tcBorders>
              <w:left w:val="single" w:color="auto" w:sz="12" w:space="0"/>
            </w:tcBorders>
            <w:vAlign w:val="center"/>
          </w:tcPr>
          <w:p>
            <w:pPr>
              <w:spacing w:line="360" w:lineRule="auto"/>
              <w:jc w:val="center"/>
              <w:rPr>
                <w:sz w:val="24"/>
                <w:szCs w:val="24"/>
              </w:rPr>
            </w:pPr>
            <w:r>
              <w:rPr>
                <w:sz w:val="24"/>
                <w:szCs w:val="24"/>
              </w:rPr>
              <w:t>通讯地址</w:t>
            </w:r>
          </w:p>
        </w:tc>
        <w:tc>
          <w:tcPr>
            <w:tcW w:w="7637" w:type="dxa"/>
            <w:gridSpan w:val="12"/>
            <w:tcBorders>
              <w:right w:val="single" w:color="auto" w:sz="12" w:space="0"/>
            </w:tcBorders>
            <w:vAlign w:val="center"/>
          </w:tcPr>
          <w:p>
            <w:pPr>
              <w:spacing w:line="360" w:lineRule="auto"/>
              <w:jc w:val="center"/>
              <w:rPr>
                <w:color w:val="FF0000"/>
                <w:sz w:val="24"/>
                <w:szCs w:val="24"/>
              </w:rPr>
            </w:pPr>
            <w:r>
              <w:rPr>
                <w:rFonts w:hint="eastAsia"/>
                <w:sz w:val="24"/>
                <w:szCs w:val="24"/>
              </w:rPr>
              <w:t>平武县龙安镇飞龙路中段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9" w:type="dxa"/>
            <w:tcBorders>
              <w:left w:val="single" w:color="auto" w:sz="12" w:space="0"/>
            </w:tcBorders>
            <w:vAlign w:val="center"/>
          </w:tcPr>
          <w:p>
            <w:pPr>
              <w:spacing w:line="360" w:lineRule="auto"/>
              <w:jc w:val="center"/>
              <w:rPr>
                <w:sz w:val="24"/>
                <w:szCs w:val="24"/>
              </w:rPr>
            </w:pPr>
            <w:r>
              <w:rPr>
                <w:sz w:val="24"/>
                <w:szCs w:val="24"/>
              </w:rPr>
              <w:t>联系电话</w:t>
            </w:r>
          </w:p>
        </w:tc>
        <w:tc>
          <w:tcPr>
            <w:tcW w:w="1735" w:type="dxa"/>
            <w:vAlign w:val="center"/>
          </w:tcPr>
          <w:p>
            <w:pPr>
              <w:spacing w:line="360" w:lineRule="auto"/>
              <w:jc w:val="center"/>
              <w:rPr>
                <w:sz w:val="24"/>
                <w:szCs w:val="24"/>
              </w:rPr>
            </w:pPr>
            <w:r>
              <w:rPr>
                <w:rFonts w:hint="eastAsia"/>
                <w:sz w:val="24"/>
                <w:szCs w:val="24"/>
              </w:rPr>
              <w:t>0816-8829593</w:t>
            </w:r>
          </w:p>
        </w:tc>
        <w:tc>
          <w:tcPr>
            <w:tcW w:w="1673" w:type="dxa"/>
            <w:gridSpan w:val="3"/>
            <w:vAlign w:val="center"/>
          </w:tcPr>
          <w:p>
            <w:pPr>
              <w:spacing w:line="360" w:lineRule="auto"/>
              <w:jc w:val="center"/>
              <w:rPr>
                <w:sz w:val="24"/>
                <w:szCs w:val="24"/>
              </w:rPr>
            </w:pPr>
            <w:r>
              <w:rPr>
                <w:sz w:val="24"/>
                <w:szCs w:val="24"/>
              </w:rPr>
              <w:t>传真</w:t>
            </w:r>
          </w:p>
        </w:tc>
        <w:tc>
          <w:tcPr>
            <w:tcW w:w="1695" w:type="dxa"/>
            <w:gridSpan w:val="3"/>
            <w:vAlign w:val="center"/>
          </w:tcPr>
          <w:p>
            <w:pPr>
              <w:spacing w:line="360" w:lineRule="auto"/>
              <w:jc w:val="center"/>
              <w:rPr>
                <w:sz w:val="24"/>
                <w:szCs w:val="24"/>
              </w:rPr>
            </w:pPr>
            <w:r>
              <w:rPr>
                <w:rFonts w:hint="eastAsia"/>
                <w:sz w:val="24"/>
                <w:szCs w:val="24"/>
              </w:rPr>
              <w:t>0816</w:t>
            </w:r>
            <w:r>
              <w:rPr>
                <w:sz w:val="24"/>
                <w:szCs w:val="24"/>
              </w:rPr>
              <w:t>-</w:t>
            </w:r>
            <w:r>
              <w:rPr>
                <w:rFonts w:hint="eastAsia"/>
                <w:sz w:val="24"/>
                <w:szCs w:val="24"/>
              </w:rPr>
              <w:t>8829593</w:t>
            </w:r>
          </w:p>
        </w:tc>
        <w:tc>
          <w:tcPr>
            <w:tcW w:w="1346" w:type="dxa"/>
            <w:gridSpan w:val="3"/>
            <w:vAlign w:val="center"/>
          </w:tcPr>
          <w:p>
            <w:pPr>
              <w:spacing w:line="360" w:lineRule="auto"/>
              <w:jc w:val="center"/>
              <w:rPr>
                <w:sz w:val="24"/>
                <w:szCs w:val="24"/>
              </w:rPr>
            </w:pPr>
            <w:r>
              <w:rPr>
                <w:sz w:val="24"/>
                <w:szCs w:val="24"/>
              </w:rPr>
              <w:t>邮政编码</w:t>
            </w:r>
          </w:p>
        </w:tc>
        <w:tc>
          <w:tcPr>
            <w:tcW w:w="1188" w:type="dxa"/>
            <w:gridSpan w:val="2"/>
            <w:tcBorders>
              <w:right w:val="single" w:color="auto" w:sz="12" w:space="0"/>
            </w:tcBorders>
            <w:vAlign w:val="center"/>
          </w:tcPr>
          <w:p>
            <w:pPr>
              <w:spacing w:line="360" w:lineRule="auto"/>
              <w:jc w:val="center"/>
              <w:rPr>
                <w:sz w:val="24"/>
                <w:szCs w:val="24"/>
              </w:rPr>
            </w:pPr>
            <w:r>
              <w:rPr>
                <w:sz w:val="24"/>
                <w:szCs w:val="24"/>
              </w:rPr>
              <w:t>6</w:t>
            </w:r>
            <w:r>
              <w:rPr>
                <w:rFonts w:hint="eastAsia"/>
                <w:sz w:val="24"/>
                <w:szCs w:val="24"/>
              </w:rPr>
              <w:t>22550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9" w:type="dxa"/>
            <w:tcBorders>
              <w:left w:val="single" w:color="auto" w:sz="12" w:space="0"/>
            </w:tcBorders>
            <w:vAlign w:val="center"/>
          </w:tcPr>
          <w:p>
            <w:pPr>
              <w:spacing w:line="360" w:lineRule="auto"/>
              <w:jc w:val="center"/>
              <w:rPr>
                <w:sz w:val="24"/>
                <w:szCs w:val="24"/>
              </w:rPr>
            </w:pPr>
            <w:r>
              <w:rPr>
                <w:sz w:val="24"/>
                <w:szCs w:val="24"/>
              </w:rPr>
              <w:t>建设地点</w:t>
            </w:r>
          </w:p>
        </w:tc>
        <w:tc>
          <w:tcPr>
            <w:tcW w:w="7637" w:type="dxa"/>
            <w:gridSpan w:val="12"/>
            <w:tcBorders>
              <w:right w:val="single" w:color="auto" w:sz="12" w:space="0"/>
            </w:tcBorders>
            <w:vAlign w:val="center"/>
          </w:tcPr>
          <w:p>
            <w:pPr>
              <w:jc w:val="center"/>
              <w:rPr>
                <w:bCs/>
                <w:color w:val="000000"/>
                <w:sz w:val="24"/>
              </w:rPr>
            </w:pPr>
            <w:r>
              <w:rPr>
                <w:rFonts w:hint="eastAsia"/>
                <w:sz w:val="24"/>
                <w:szCs w:val="24"/>
              </w:rPr>
              <w:t>平武县龙安镇城郊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9" w:type="dxa"/>
            <w:tcBorders>
              <w:left w:val="single" w:color="auto" w:sz="12" w:space="0"/>
            </w:tcBorders>
            <w:vAlign w:val="center"/>
          </w:tcPr>
          <w:p>
            <w:pPr>
              <w:spacing w:line="360" w:lineRule="auto"/>
              <w:jc w:val="center"/>
              <w:rPr>
                <w:sz w:val="24"/>
                <w:szCs w:val="24"/>
              </w:rPr>
            </w:pPr>
            <w:r>
              <w:rPr>
                <w:rFonts w:hint="eastAsia"/>
                <w:sz w:val="24"/>
                <w:szCs w:val="24"/>
              </w:rPr>
              <w:t>工程</w:t>
            </w:r>
            <w:r>
              <w:rPr>
                <w:sz w:val="24"/>
                <w:szCs w:val="24"/>
              </w:rPr>
              <w:t>性质</w:t>
            </w:r>
          </w:p>
        </w:tc>
        <w:tc>
          <w:tcPr>
            <w:tcW w:w="3488" w:type="dxa"/>
            <w:gridSpan w:val="5"/>
            <w:vAlign w:val="center"/>
          </w:tcPr>
          <w:p>
            <w:pPr>
              <w:spacing w:line="360" w:lineRule="auto"/>
              <w:jc w:val="center"/>
              <w:rPr>
                <w:sz w:val="24"/>
                <w:szCs w:val="24"/>
              </w:rPr>
            </w:pPr>
            <w:r>
              <w:rPr>
                <w:sz w:val="24"/>
                <w:szCs w:val="24"/>
              </w:rPr>
              <w:t>新建□改扩建■  技改□</w:t>
            </w:r>
          </w:p>
        </w:tc>
        <w:tc>
          <w:tcPr>
            <w:tcW w:w="2038" w:type="dxa"/>
            <w:gridSpan w:val="3"/>
            <w:vAlign w:val="center"/>
          </w:tcPr>
          <w:p>
            <w:pPr>
              <w:jc w:val="center"/>
              <w:rPr>
                <w:sz w:val="24"/>
                <w:szCs w:val="24"/>
              </w:rPr>
            </w:pPr>
            <w:r>
              <w:rPr>
                <w:sz w:val="24"/>
                <w:szCs w:val="24"/>
              </w:rPr>
              <w:t>行业类别</w:t>
            </w:r>
          </w:p>
        </w:tc>
        <w:tc>
          <w:tcPr>
            <w:tcW w:w="2111" w:type="dxa"/>
            <w:gridSpan w:val="4"/>
            <w:tcBorders>
              <w:right w:val="single" w:color="auto" w:sz="12" w:space="0"/>
            </w:tcBorders>
            <w:vAlign w:val="center"/>
          </w:tcPr>
          <w:p>
            <w:pPr>
              <w:jc w:val="center"/>
              <w:rPr>
                <w:sz w:val="24"/>
                <w:szCs w:val="24"/>
              </w:rPr>
            </w:pPr>
            <w:r>
              <w:rPr>
                <w:sz w:val="24"/>
                <w:szCs w:val="24"/>
              </w:rPr>
              <w:t>电力供应业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9" w:type="dxa"/>
            <w:tcBorders>
              <w:left w:val="single" w:color="auto" w:sz="12" w:space="0"/>
            </w:tcBorders>
            <w:vAlign w:val="center"/>
          </w:tcPr>
          <w:p>
            <w:pPr>
              <w:jc w:val="center"/>
              <w:rPr>
                <w:sz w:val="24"/>
                <w:szCs w:val="24"/>
              </w:rPr>
            </w:pPr>
            <w:r>
              <w:rPr>
                <w:rFonts w:hint="eastAsia"/>
                <w:sz w:val="24"/>
                <w:szCs w:val="24"/>
              </w:rPr>
              <w:t>环境影响</w:t>
            </w:r>
          </w:p>
          <w:p>
            <w:pPr>
              <w:jc w:val="center"/>
              <w:rPr>
                <w:sz w:val="24"/>
                <w:szCs w:val="24"/>
              </w:rPr>
            </w:pPr>
            <w:r>
              <w:rPr>
                <w:rFonts w:hint="eastAsia"/>
                <w:sz w:val="24"/>
                <w:szCs w:val="24"/>
              </w:rPr>
              <w:t>报告表名称</w:t>
            </w:r>
          </w:p>
        </w:tc>
        <w:tc>
          <w:tcPr>
            <w:tcW w:w="7637" w:type="dxa"/>
            <w:gridSpan w:val="12"/>
            <w:tcBorders>
              <w:right w:val="single" w:color="auto" w:sz="12" w:space="0"/>
            </w:tcBorders>
            <w:vAlign w:val="center"/>
          </w:tcPr>
          <w:p>
            <w:pPr>
              <w:jc w:val="center"/>
              <w:rPr>
                <w:sz w:val="24"/>
                <w:szCs w:val="24"/>
              </w:rPr>
            </w:pPr>
            <w:r>
              <w:rPr>
                <w:rFonts w:hint="eastAsia"/>
                <w:sz w:val="24"/>
                <w:szCs w:val="24"/>
              </w:rPr>
              <w:t>平武县龙安35千伏变电站灾后恢复重建改造工程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9" w:type="dxa"/>
            <w:tcBorders>
              <w:left w:val="single" w:color="auto" w:sz="12" w:space="0"/>
            </w:tcBorders>
            <w:vAlign w:val="center"/>
          </w:tcPr>
          <w:p>
            <w:pPr>
              <w:jc w:val="center"/>
              <w:rPr>
                <w:sz w:val="24"/>
                <w:szCs w:val="24"/>
              </w:rPr>
            </w:pPr>
            <w:r>
              <w:rPr>
                <w:rFonts w:hint="eastAsia"/>
                <w:sz w:val="24"/>
                <w:szCs w:val="24"/>
              </w:rPr>
              <w:t>环境影响</w:t>
            </w:r>
          </w:p>
          <w:p>
            <w:pPr>
              <w:jc w:val="center"/>
              <w:rPr>
                <w:sz w:val="24"/>
                <w:szCs w:val="24"/>
              </w:rPr>
            </w:pPr>
            <w:r>
              <w:rPr>
                <w:rFonts w:hint="eastAsia"/>
                <w:sz w:val="24"/>
                <w:szCs w:val="24"/>
              </w:rPr>
              <w:t>评价单位</w:t>
            </w:r>
          </w:p>
        </w:tc>
        <w:tc>
          <w:tcPr>
            <w:tcW w:w="7637" w:type="dxa"/>
            <w:gridSpan w:val="12"/>
            <w:tcBorders>
              <w:right w:val="single" w:color="auto" w:sz="12" w:space="0"/>
            </w:tcBorders>
            <w:vAlign w:val="center"/>
          </w:tcPr>
          <w:p>
            <w:pPr>
              <w:jc w:val="center"/>
              <w:rPr>
                <w:rFonts w:hAnsi="Arial Unicode MS"/>
                <w:sz w:val="24"/>
                <w:szCs w:val="24"/>
              </w:rPr>
            </w:pPr>
            <w:r>
              <w:rPr>
                <w:rFonts w:hint="eastAsia" w:hAnsi="Arial Unicode MS"/>
                <w:sz w:val="24"/>
                <w:szCs w:val="24"/>
              </w:rPr>
              <w:t>四川省辐射环境评价治理有限责任公司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9" w:type="dxa"/>
            <w:tcBorders>
              <w:left w:val="single" w:color="auto" w:sz="12" w:space="0"/>
            </w:tcBorders>
            <w:vAlign w:val="center"/>
          </w:tcPr>
          <w:p>
            <w:pPr>
              <w:jc w:val="center"/>
              <w:rPr>
                <w:sz w:val="24"/>
                <w:szCs w:val="24"/>
              </w:rPr>
            </w:pPr>
            <w:r>
              <w:rPr>
                <w:rFonts w:hint="eastAsia"/>
                <w:sz w:val="24"/>
                <w:szCs w:val="24"/>
              </w:rPr>
              <w:t>初步设</w:t>
            </w:r>
          </w:p>
          <w:p>
            <w:pPr>
              <w:jc w:val="center"/>
              <w:rPr>
                <w:sz w:val="24"/>
                <w:szCs w:val="24"/>
              </w:rPr>
            </w:pPr>
            <w:r>
              <w:rPr>
                <w:rFonts w:hint="eastAsia"/>
                <w:sz w:val="24"/>
                <w:szCs w:val="24"/>
              </w:rPr>
              <w:t>计单位</w:t>
            </w:r>
          </w:p>
        </w:tc>
        <w:tc>
          <w:tcPr>
            <w:tcW w:w="7637" w:type="dxa"/>
            <w:gridSpan w:val="12"/>
            <w:tcBorders>
              <w:right w:val="single" w:color="auto" w:sz="12" w:space="0"/>
            </w:tcBorders>
            <w:vAlign w:val="center"/>
          </w:tcPr>
          <w:p>
            <w:pPr>
              <w:jc w:val="center"/>
              <w:rPr>
                <w:sz w:val="24"/>
                <w:szCs w:val="24"/>
              </w:rPr>
            </w:pPr>
            <w:r>
              <w:rPr>
                <w:rFonts w:hint="eastAsia" w:hAnsi="Arial Unicode MS"/>
                <w:sz w:val="24"/>
                <w:szCs w:val="24"/>
              </w:rPr>
              <w:t>四川清和水利水电工程设计有限公司绵阳分公司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9" w:type="dxa"/>
            <w:tcBorders>
              <w:left w:val="single" w:color="auto" w:sz="12" w:space="0"/>
            </w:tcBorders>
            <w:vAlign w:val="center"/>
          </w:tcPr>
          <w:p>
            <w:pPr>
              <w:jc w:val="center"/>
              <w:rPr>
                <w:sz w:val="24"/>
                <w:szCs w:val="24"/>
              </w:rPr>
            </w:pPr>
            <w:r>
              <w:rPr>
                <w:rFonts w:hint="eastAsia"/>
                <w:sz w:val="24"/>
                <w:szCs w:val="24"/>
              </w:rPr>
              <w:t>环境影响评价审批部门</w:t>
            </w:r>
          </w:p>
        </w:tc>
        <w:tc>
          <w:tcPr>
            <w:tcW w:w="2286" w:type="dxa"/>
            <w:gridSpan w:val="2"/>
            <w:vAlign w:val="center"/>
          </w:tcPr>
          <w:p>
            <w:pPr>
              <w:jc w:val="center"/>
              <w:rPr>
                <w:bCs/>
                <w:sz w:val="24"/>
                <w:szCs w:val="24"/>
              </w:rPr>
            </w:pPr>
            <w:r>
              <w:rPr>
                <w:rFonts w:hint="eastAsia"/>
                <w:bCs/>
                <w:sz w:val="24"/>
                <w:szCs w:val="24"/>
              </w:rPr>
              <w:t>绵阳市</w:t>
            </w:r>
            <w:r>
              <w:rPr>
                <w:bCs/>
                <w:sz w:val="24"/>
                <w:szCs w:val="24"/>
              </w:rPr>
              <w:t>环境保护</w:t>
            </w:r>
            <w:r>
              <w:rPr>
                <w:rFonts w:hint="eastAsia"/>
                <w:bCs/>
                <w:sz w:val="24"/>
                <w:szCs w:val="24"/>
              </w:rPr>
              <w:t>局</w:t>
            </w:r>
          </w:p>
        </w:tc>
        <w:tc>
          <w:tcPr>
            <w:tcW w:w="720" w:type="dxa"/>
            <w:vAlign w:val="center"/>
          </w:tcPr>
          <w:p>
            <w:pPr>
              <w:jc w:val="center"/>
              <w:rPr>
                <w:bCs/>
                <w:sz w:val="24"/>
                <w:szCs w:val="24"/>
              </w:rPr>
            </w:pPr>
            <w:r>
              <w:rPr>
                <w:rFonts w:hint="eastAsia"/>
                <w:bCs/>
                <w:sz w:val="24"/>
                <w:szCs w:val="24"/>
              </w:rPr>
              <w:t>文号</w:t>
            </w:r>
          </w:p>
        </w:tc>
        <w:tc>
          <w:tcPr>
            <w:tcW w:w="2520" w:type="dxa"/>
            <w:gridSpan w:val="5"/>
            <w:vAlign w:val="center"/>
          </w:tcPr>
          <w:p>
            <w:pPr>
              <w:jc w:val="center"/>
              <w:rPr>
                <w:bCs/>
                <w:sz w:val="24"/>
                <w:szCs w:val="24"/>
              </w:rPr>
            </w:pPr>
            <w:r>
              <w:rPr>
                <w:rFonts w:hint="eastAsia"/>
                <w:bCs/>
                <w:sz w:val="24"/>
                <w:szCs w:val="24"/>
              </w:rPr>
              <w:t>绵</w:t>
            </w:r>
            <w:r>
              <w:rPr>
                <w:bCs/>
                <w:sz w:val="24"/>
                <w:szCs w:val="24"/>
              </w:rPr>
              <w:t>环审批[201</w:t>
            </w:r>
            <w:r>
              <w:rPr>
                <w:rFonts w:hint="eastAsia"/>
                <w:bCs/>
                <w:sz w:val="24"/>
                <w:szCs w:val="24"/>
              </w:rPr>
              <w:t>6</w:t>
            </w:r>
            <w:r>
              <w:rPr>
                <w:bCs/>
                <w:sz w:val="24"/>
                <w:szCs w:val="24"/>
              </w:rPr>
              <w:t>]</w:t>
            </w:r>
            <w:r>
              <w:rPr>
                <w:rFonts w:hint="eastAsia"/>
                <w:bCs/>
                <w:sz w:val="24"/>
                <w:szCs w:val="24"/>
              </w:rPr>
              <w:t>212</w:t>
            </w:r>
            <w:r>
              <w:rPr>
                <w:bCs/>
                <w:sz w:val="24"/>
                <w:szCs w:val="24"/>
              </w:rPr>
              <w:t>号</w:t>
            </w:r>
          </w:p>
        </w:tc>
        <w:tc>
          <w:tcPr>
            <w:tcW w:w="720" w:type="dxa"/>
            <w:vAlign w:val="center"/>
          </w:tcPr>
          <w:p>
            <w:pPr>
              <w:jc w:val="center"/>
              <w:rPr>
                <w:bCs/>
                <w:sz w:val="24"/>
                <w:szCs w:val="24"/>
              </w:rPr>
            </w:pPr>
            <w:r>
              <w:rPr>
                <w:rFonts w:hint="eastAsia"/>
                <w:bCs/>
                <w:sz w:val="24"/>
                <w:szCs w:val="24"/>
              </w:rPr>
              <w:t>时间</w:t>
            </w:r>
          </w:p>
        </w:tc>
        <w:tc>
          <w:tcPr>
            <w:tcW w:w="1391" w:type="dxa"/>
            <w:gridSpan w:val="3"/>
            <w:tcBorders>
              <w:right w:val="single" w:color="auto" w:sz="12" w:space="0"/>
            </w:tcBorders>
            <w:vAlign w:val="center"/>
          </w:tcPr>
          <w:p>
            <w:pPr>
              <w:jc w:val="center"/>
              <w:rPr>
                <w:bCs/>
                <w:sz w:val="24"/>
                <w:szCs w:val="24"/>
              </w:rPr>
            </w:pPr>
            <w:r>
              <w:rPr>
                <w:rFonts w:hint="eastAsia"/>
                <w:bCs/>
                <w:sz w:val="24"/>
                <w:szCs w:val="24"/>
              </w:rPr>
              <w:t>2016.7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9" w:type="dxa"/>
            <w:tcBorders>
              <w:left w:val="single" w:color="auto" w:sz="12" w:space="0"/>
            </w:tcBorders>
            <w:vAlign w:val="center"/>
          </w:tcPr>
          <w:p>
            <w:pPr>
              <w:jc w:val="center"/>
              <w:rPr>
                <w:sz w:val="24"/>
                <w:szCs w:val="24"/>
              </w:rPr>
            </w:pPr>
            <w:r>
              <w:rPr>
                <w:rFonts w:hint="eastAsia"/>
                <w:sz w:val="24"/>
                <w:szCs w:val="24"/>
              </w:rPr>
              <w:t>工程核准</w:t>
            </w:r>
          </w:p>
          <w:p>
            <w:pPr>
              <w:jc w:val="center"/>
              <w:rPr>
                <w:sz w:val="24"/>
                <w:szCs w:val="24"/>
              </w:rPr>
            </w:pPr>
            <w:r>
              <w:rPr>
                <w:rFonts w:hint="eastAsia"/>
                <w:sz w:val="24"/>
                <w:szCs w:val="24"/>
              </w:rPr>
              <w:t>部门</w:t>
            </w:r>
          </w:p>
        </w:tc>
        <w:tc>
          <w:tcPr>
            <w:tcW w:w="2286" w:type="dxa"/>
            <w:gridSpan w:val="2"/>
            <w:vAlign w:val="center"/>
          </w:tcPr>
          <w:p>
            <w:pPr>
              <w:jc w:val="center"/>
              <w:rPr>
                <w:bCs/>
                <w:sz w:val="24"/>
                <w:szCs w:val="24"/>
              </w:rPr>
            </w:pPr>
            <w:r>
              <w:rPr>
                <w:rFonts w:hint="eastAsia"/>
                <w:bCs/>
                <w:sz w:val="24"/>
                <w:szCs w:val="24"/>
              </w:rPr>
              <w:t>平武县发展改革和经济商务局</w:t>
            </w:r>
          </w:p>
        </w:tc>
        <w:tc>
          <w:tcPr>
            <w:tcW w:w="720" w:type="dxa"/>
            <w:vAlign w:val="center"/>
          </w:tcPr>
          <w:p>
            <w:pPr>
              <w:jc w:val="center"/>
              <w:rPr>
                <w:bCs/>
                <w:sz w:val="24"/>
                <w:szCs w:val="24"/>
              </w:rPr>
            </w:pPr>
            <w:r>
              <w:rPr>
                <w:rFonts w:hint="eastAsia"/>
                <w:bCs/>
                <w:sz w:val="24"/>
                <w:szCs w:val="24"/>
              </w:rPr>
              <w:t>文号</w:t>
            </w:r>
          </w:p>
        </w:tc>
        <w:tc>
          <w:tcPr>
            <w:tcW w:w="2520" w:type="dxa"/>
            <w:gridSpan w:val="5"/>
            <w:vAlign w:val="center"/>
          </w:tcPr>
          <w:p>
            <w:pPr>
              <w:jc w:val="center"/>
              <w:rPr>
                <w:bCs/>
                <w:sz w:val="24"/>
                <w:szCs w:val="24"/>
              </w:rPr>
            </w:pPr>
            <w:r>
              <w:rPr>
                <w:rFonts w:hint="eastAsia"/>
                <w:bCs/>
                <w:sz w:val="24"/>
                <w:szCs w:val="24"/>
              </w:rPr>
              <w:t>平发改</w:t>
            </w:r>
          </w:p>
          <w:p>
            <w:pPr>
              <w:jc w:val="center"/>
              <w:rPr>
                <w:bCs/>
                <w:sz w:val="24"/>
                <w:szCs w:val="24"/>
              </w:rPr>
            </w:pPr>
            <w:r>
              <w:rPr>
                <w:bCs/>
                <w:sz w:val="24"/>
                <w:szCs w:val="24"/>
              </w:rPr>
              <w:t>[20</w:t>
            </w:r>
            <w:r>
              <w:rPr>
                <w:rFonts w:hint="eastAsia"/>
                <w:bCs/>
                <w:sz w:val="24"/>
                <w:szCs w:val="24"/>
              </w:rPr>
              <w:t>08</w:t>
            </w:r>
            <w:r>
              <w:rPr>
                <w:bCs/>
                <w:sz w:val="24"/>
                <w:szCs w:val="24"/>
              </w:rPr>
              <w:t>]</w:t>
            </w:r>
            <w:r>
              <w:rPr>
                <w:rFonts w:hint="eastAsia"/>
                <w:bCs/>
                <w:sz w:val="24"/>
                <w:szCs w:val="24"/>
              </w:rPr>
              <w:t>266</w:t>
            </w:r>
            <w:r>
              <w:rPr>
                <w:bCs/>
                <w:sz w:val="24"/>
                <w:szCs w:val="24"/>
              </w:rPr>
              <w:t>号</w:t>
            </w:r>
          </w:p>
        </w:tc>
        <w:tc>
          <w:tcPr>
            <w:tcW w:w="720" w:type="dxa"/>
            <w:vAlign w:val="center"/>
          </w:tcPr>
          <w:p>
            <w:pPr>
              <w:jc w:val="center"/>
              <w:rPr>
                <w:bCs/>
                <w:sz w:val="24"/>
                <w:szCs w:val="24"/>
              </w:rPr>
            </w:pPr>
            <w:r>
              <w:rPr>
                <w:rFonts w:hint="eastAsia"/>
                <w:bCs/>
                <w:sz w:val="24"/>
                <w:szCs w:val="24"/>
              </w:rPr>
              <w:t>时间</w:t>
            </w:r>
          </w:p>
        </w:tc>
        <w:tc>
          <w:tcPr>
            <w:tcW w:w="1391" w:type="dxa"/>
            <w:gridSpan w:val="3"/>
            <w:tcBorders>
              <w:right w:val="single" w:color="auto" w:sz="12" w:space="0"/>
            </w:tcBorders>
            <w:vAlign w:val="center"/>
          </w:tcPr>
          <w:p>
            <w:pPr>
              <w:jc w:val="center"/>
              <w:rPr>
                <w:bCs/>
                <w:sz w:val="24"/>
                <w:szCs w:val="24"/>
              </w:rPr>
            </w:pPr>
            <w:r>
              <w:rPr>
                <w:rFonts w:hint="eastAsia"/>
                <w:bCs/>
                <w:sz w:val="24"/>
                <w:szCs w:val="24"/>
              </w:rPr>
              <w:t>2008.12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599" w:type="dxa"/>
            <w:tcBorders>
              <w:left w:val="single" w:color="auto" w:sz="12" w:space="0"/>
            </w:tcBorders>
            <w:vAlign w:val="center"/>
          </w:tcPr>
          <w:p>
            <w:pPr>
              <w:jc w:val="center"/>
              <w:rPr>
                <w:sz w:val="24"/>
                <w:szCs w:val="24"/>
              </w:rPr>
            </w:pPr>
            <w:r>
              <w:rPr>
                <w:rFonts w:hint="eastAsia"/>
                <w:sz w:val="24"/>
                <w:szCs w:val="24"/>
              </w:rPr>
              <w:t>初步设计</w:t>
            </w:r>
          </w:p>
          <w:p>
            <w:pPr>
              <w:jc w:val="center"/>
              <w:rPr>
                <w:sz w:val="24"/>
                <w:szCs w:val="24"/>
              </w:rPr>
            </w:pPr>
            <w:r>
              <w:rPr>
                <w:rFonts w:hint="eastAsia"/>
                <w:sz w:val="24"/>
                <w:szCs w:val="24"/>
              </w:rPr>
              <w:t>审批部门</w:t>
            </w:r>
          </w:p>
        </w:tc>
        <w:tc>
          <w:tcPr>
            <w:tcW w:w="2286" w:type="dxa"/>
            <w:gridSpan w:val="2"/>
            <w:vAlign w:val="center"/>
          </w:tcPr>
          <w:p>
            <w:pPr>
              <w:jc w:val="center"/>
              <w:rPr>
                <w:bCs/>
                <w:sz w:val="24"/>
                <w:szCs w:val="24"/>
              </w:rPr>
            </w:pPr>
            <w:r>
              <w:rPr>
                <w:bCs/>
                <w:sz w:val="24"/>
                <w:szCs w:val="24"/>
              </w:rPr>
              <w:t>四川省电力公司</w:t>
            </w:r>
          </w:p>
        </w:tc>
        <w:tc>
          <w:tcPr>
            <w:tcW w:w="720" w:type="dxa"/>
            <w:vAlign w:val="center"/>
          </w:tcPr>
          <w:p>
            <w:pPr>
              <w:jc w:val="center"/>
              <w:rPr>
                <w:bCs/>
                <w:sz w:val="24"/>
                <w:szCs w:val="24"/>
              </w:rPr>
            </w:pPr>
            <w:r>
              <w:rPr>
                <w:rFonts w:hint="eastAsia"/>
                <w:bCs/>
                <w:sz w:val="24"/>
                <w:szCs w:val="24"/>
              </w:rPr>
              <w:t>文号</w:t>
            </w:r>
          </w:p>
        </w:tc>
        <w:tc>
          <w:tcPr>
            <w:tcW w:w="2520" w:type="dxa"/>
            <w:gridSpan w:val="5"/>
            <w:vAlign w:val="center"/>
          </w:tcPr>
          <w:p>
            <w:pPr>
              <w:jc w:val="center"/>
              <w:rPr>
                <w:bCs/>
                <w:sz w:val="24"/>
                <w:szCs w:val="24"/>
              </w:rPr>
            </w:pPr>
            <w:r>
              <w:rPr>
                <w:bCs/>
                <w:sz w:val="24"/>
                <w:szCs w:val="24"/>
              </w:rPr>
              <w:t>川电基建[201</w:t>
            </w:r>
            <w:r>
              <w:rPr>
                <w:rFonts w:hint="eastAsia"/>
                <w:bCs/>
                <w:sz w:val="24"/>
                <w:szCs w:val="24"/>
              </w:rPr>
              <w:t>4</w:t>
            </w:r>
            <w:r>
              <w:rPr>
                <w:bCs/>
                <w:sz w:val="24"/>
                <w:szCs w:val="24"/>
              </w:rPr>
              <w:t>]</w:t>
            </w:r>
            <w:r>
              <w:rPr>
                <w:rFonts w:hint="eastAsia"/>
                <w:bCs/>
                <w:sz w:val="24"/>
                <w:szCs w:val="24"/>
              </w:rPr>
              <w:t>164</w:t>
            </w:r>
            <w:r>
              <w:rPr>
                <w:bCs/>
                <w:sz w:val="24"/>
                <w:szCs w:val="24"/>
              </w:rPr>
              <w:t>号</w:t>
            </w:r>
          </w:p>
        </w:tc>
        <w:tc>
          <w:tcPr>
            <w:tcW w:w="720" w:type="dxa"/>
            <w:vAlign w:val="center"/>
          </w:tcPr>
          <w:p>
            <w:pPr>
              <w:jc w:val="center"/>
              <w:rPr>
                <w:bCs/>
                <w:sz w:val="24"/>
                <w:szCs w:val="24"/>
              </w:rPr>
            </w:pPr>
            <w:r>
              <w:rPr>
                <w:rFonts w:hint="eastAsia"/>
                <w:bCs/>
                <w:sz w:val="24"/>
                <w:szCs w:val="24"/>
              </w:rPr>
              <w:t>批准时间</w:t>
            </w:r>
          </w:p>
        </w:tc>
        <w:tc>
          <w:tcPr>
            <w:tcW w:w="1391" w:type="dxa"/>
            <w:gridSpan w:val="3"/>
            <w:tcBorders>
              <w:right w:val="single" w:color="auto" w:sz="12" w:space="0"/>
            </w:tcBorders>
            <w:vAlign w:val="center"/>
          </w:tcPr>
          <w:p>
            <w:pPr>
              <w:jc w:val="center"/>
              <w:rPr>
                <w:bCs/>
                <w:sz w:val="24"/>
                <w:szCs w:val="24"/>
              </w:rPr>
            </w:pPr>
            <w:r>
              <w:rPr>
                <w:rFonts w:hint="eastAsia"/>
                <w:bCs/>
                <w:sz w:val="24"/>
                <w:szCs w:val="24"/>
              </w:rPr>
              <w:t>2014.8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9" w:type="dxa"/>
            <w:tcBorders>
              <w:left w:val="single" w:color="auto" w:sz="12" w:space="0"/>
            </w:tcBorders>
            <w:vAlign w:val="center"/>
          </w:tcPr>
          <w:p>
            <w:pPr>
              <w:jc w:val="center"/>
              <w:rPr>
                <w:sz w:val="24"/>
                <w:szCs w:val="24"/>
              </w:rPr>
            </w:pPr>
            <w:r>
              <w:rPr>
                <w:rFonts w:hint="eastAsia"/>
                <w:sz w:val="24"/>
                <w:szCs w:val="24"/>
              </w:rPr>
              <w:t>环境保护设施设计单位</w:t>
            </w:r>
          </w:p>
        </w:tc>
        <w:tc>
          <w:tcPr>
            <w:tcW w:w="7637" w:type="dxa"/>
            <w:gridSpan w:val="12"/>
            <w:tcBorders>
              <w:right w:val="single" w:color="auto" w:sz="12" w:space="0"/>
            </w:tcBorders>
            <w:vAlign w:val="center"/>
          </w:tcPr>
          <w:p>
            <w:pPr>
              <w:jc w:val="center"/>
              <w:rPr>
                <w:rFonts w:hAnsi="Arial Unicode MS"/>
                <w:sz w:val="24"/>
                <w:szCs w:val="24"/>
              </w:rPr>
            </w:pPr>
            <w:r>
              <w:rPr>
                <w:rFonts w:hint="eastAsia" w:hAnsi="Arial Unicode MS"/>
                <w:sz w:val="24"/>
                <w:szCs w:val="24"/>
              </w:rPr>
              <w:t>四川清和水利水电工程设计有限公司绵阳分公司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9" w:type="dxa"/>
            <w:tcBorders>
              <w:left w:val="single" w:color="auto" w:sz="12" w:space="0"/>
              <w:bottom w:val="single" w:color="auto" w:sz="4" w:space="0"/>
            </w:tcBorders>
            <w:vAlign w:val="center"/>
          </w:tcPr>
          <w:p>
            <w:pPr>
              <w:jc w:val="center"/>
              <w:rPr>
                <w:sz w:val="24"/>
                <w:szCs w:val="24"/>
              </w:rPr>
            </w:pPr>
            <w:r>
              <w:rPr>
                <w:rFonts w:hint="eastAsia"/>
                <w:sz w:val="24"/>
                <w:szCs w:val="24"/>
              </w:rPr>
              <w:t>环境保护设施施工单位</w:t>
            </w:r>
          </w:p>
        </w:tc>
        <w:tc>
          <w:tcPr>
            <w:tcW w:w="7637" w:type="dxa"/>
            <w:gridSpan w:val="12"/>
            <w:tcBorders>
              <w:bottom w:val="single" w:color="auto" w:sz="4" w:space="0"/>
              <w:right w:val="single" w:color="auto" w:sz="12" w:space="0"/>
            </w:tcBorders>
            <w:vAlign w:val="center"/>
          </w:tcPr>
          <w:p>
            <w:pPr>
              <w:jc w:val="center"/>
              <w:rPr>
                <w:rFonts w:hAnsi="Arial Unicode MS"/>
                <w:sz w:val="24"/>
                <w:szCs w:val="24"/>
              </w:rPr>
            </w:pPr>
            <w:r>
              <w:rPr>
                <w:rFonts w:hint="eastAsia" w:hAnsi="Arial Unicode MS"/>
                <w:sz w:val="24"/>
                <w:szCs w:val="24"/>
              </w:rPr>
              <w:t>绵阳市启明星集团有限公司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599" w:type="dxa"/>
            <w:tcBorders>
              <w:left w:val="single" w:color="auto" w:sz="12" w:space="0"/>
              <w:bottom w:val="single" w:color="auto" w:sz="4" w:space="0"/>
            </w:tcBorders>
            <w:vAlign w:val="center"/>
          </w:tcPr>
          <w:p>
            <w:pPr>
              <w:jc w:val="center"/>
              <w:rPr>
                <w:sz w:val="24"/>
                <w:szCs w:val="24"/>
              </w:rPr>
            </w:pPr>
            <w:r>
              <w:rPr>
                <w:rFonts w:hint="eastAsia"/>
                <w:sz w:val="24"/>
                <w:szCs w:val="24"/>
              </w:rPr>
              <w:t>环境保护设施监测单位</w:t>
            </w:r>
          </w:p>
        </w:tc>
        <w:tc>
          <w:tcPr>
            <w:tcW w:w="7637" w:type="dxa"/>
            <w:gridSpan w:val="12"/>
            <w:tcBorders>
              <w:bottom w:val="single" w:color="auto" w:sz="4" w:space="0"/>
              <w:right w:val="single" w:color="auto" w:sz="12" w:space="0"/>
            </w:tcBorders>
            <w:vAlign w:val="center"/>
          </w:tcPr>
          <w:p>
            <w:pPr>
              <w:spacing w:line="480" w:lineRule="auto"/>
              <w:jc w:val="center"/>
              <w:rPr>
                <w:bCs/>
                <w:sz w:val="24"/>
                <w:szCs w:val="24"/>
              </w:rPr>
            </w:pPr>
            <w:r>
              <w:rPr>
                <w:rFonts w:hint="eastAsia" w:hAnsi="Arial Unicode MS"/>
                <w:sz w:val="24"/>
                <w:szCs w:val="24"/>
              </w:rPr>
              <w:t>四川省辐射环境管理监测中心站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1599" w:type="dxa"/>
            <w:tcBorders>
              <w:top w:val="single" w:color="auto" w:sz="4" w:space="0"/>
              <w:left w:val="single" w:color="auto" w:sz="12" w:space="0"/>
            </w:tcBorders>
            <w:vAlign w:val="center"/>
          </w:tcPr>
          <w:p>
            <w:pPr>
              <w:jc w:val="center"/>
              <w:rPr>
                <w:sz w:val="24"/>
                <w:szCs w:val="24"/>
              </w:rPr>
            </w:pPr>
            <w:r>
              <w:rPr>
                <w:rFonts w:hint="eastAsia"/>
                <w:sz w:val="24"/>
                <w:szCs w:val="24"/>
              </w:rPr>
              <w:t>投资总概算</w:t>
            </w:r>
          </w:p>
          <w:p>
            <w:pPr>
              <w:jc w:val="center"/>
              <w:rPr>
                <w:sz w:val="24"/>
                <w:szCs w:val="24"/>
              </w:rPr>
            </w:pPr>
            <w:r>
              <w:rPr>
                <w:rFonts w:hint="eastAsia"/>
                <w:sz w:val="24"/>
                <w:szCs w:val="24"/>
              </w:rPr>
              <w:t>（万元）</w:t>
            </w:r>
          </w:p>
        </w:tc>
        <w:tc>
          <w:tcPr>
            <w:tcW w:w="3006" w:type="dxa"/>
            <w:gridSpan w:val="3"/>
            <w:tcBorders>
              <w:top w:val="single" w:color="auto" w:sz="4" w:space="0"/>
            </w:tcBorders>
            <w:vAlign w:val="center"/>
          </w:tcPr>
          <w:p>
            <w:pPr>
              <w:jc w:val="center"/>
              <w:rPr>
                <w:sz w:val="24"/>
                <w:szCs w:val="24"/>
              </w:rPr>
            </w:pPr>
            <w:r>
              <w:rPr>
                <w:rFonts w:hint="eastAsia"/>
                <w:sz w:val="24"/>
                <w:szCs w:val="24"/>
              </w:rPr>
              <w:t>1410.57</w:t>
            </w:r>
          </w:p>
        </w:tc>
        <w:tc>
          <w:tcPr>
            <w:tcW w:w="1260" w:type="dxa"/>
            <w:gridSpan w:val="3"/>
            <w:tcBorders>
              <w:top w:val="single" w:color="auto" w:sz="4" w:space="0"/>
            </w:tcBorders>
            <w:vAlign w:val="center"/>
          </w:tcPr>
          <w:p>
            <w:pPr>
              <w:jc w:val="center"/>
              <w:rPr>
                <w:bCs/>
                <w:sz w:val="24"/>
                <w:szCs w:val="24"/>
              </w:rPr>
            </w:pPr>
            <w:r>
              <w:rPr>
                <w:rFonts w:hint="eastAsia"/>
                <w:bCs/>
                <w:sz w:val="24"/>
                <w:szCs w:val="24"/>
              </w:rPr>
              <w:t>环保投资（万元）</w:t>
            </w:r>
          </w:p>
        </w:tc>
        <w:tc>
          <w:tcPr>
            <w:tcW w:w="837" w:type="dxa"/>
            <w:tcBorders>
              <w:top w:val="single" w:color="auto" w:sz="4" w:space="0"/>
            </w:tcBorders>
            <w:vAlign w:val="center"/>
          </w:tcPr>
          <w:p>
            <w:pPr>
              <w:jc w:val="center"/>
              <w:rPr>
                <w:bCs/>
                <w:sz w:val="24"/>
                <w:szCs w:val="24"/>
              </w:rPr>
            </w:pPr>
            <w:r>
              <w:rPr>
                <w:rFonts w:hint="eastAsia"/>
                <w:sz w:val="24"/>
                <w:szCs w:val="24"/>
              </w:rPr>
              <w:t>9.5</w:t>
            </w:r>
          </w:p>
        </w:tc>
        <w:tc>
          <w:tcPr>
            <w:tcW w:w="1560" w:type="dxa"/>
            <w:gridSpan w:val="4"/>
            <w:tcBorders>
              <w:top w:val="single" w:color="auto" w:sz="4" w:space="0"/>
            </w:tcBorders>
            <w:vAlign w:val="center"/>
          </w:tcPr>
          <w:p>
            <w:pPr>
              <w:jc w:val="center"/>
              <w:rPr>
                <w:bCs/>
                <w:sz w:val="24"/>
                <w:szCs w:val="24"/>
              </w:rPr>
            </w:pPr>
            <w:r>
              <w:rPr>
                <w:rFonts w:hint="eastAsia"/>
                <w:bCs/>
                <w:sz w:val="24"/>
                <w:szCs w:val="24"/>
              </w:rPr>
              <w:t>环保投资占总投资比例</w:t>
            </w:r>
          </w:p>
        </w:tc>
        <w:tc>
          <w:tcPr>
            <w:tcW w:w="974" w:type="dxa"/>
            <w:tcBorders>
              <w:top w:val="single" w:color="auto" w:sz="4" w:space="0"/>
              <w:right w:val="single" w:color="auto" w:sz="12" w:space="0"/>
            </w:tcBorders>
            <w:vAlign w:val="center"/>
          </w:tcPr>
          <w:p>
            <w:pPr>
              <w:jc w:val="center"/>
              <w:rPr>
                <w:sz w:val="24"/>
                <w:szCs w:val="24"/>
              </w:rPr>
            </w:pPr>
            <w:r>
              <w:rPr>
                <w:rFonts w:hint="eastAsia"/>
                <w:sz w:val="24"/>
                <w:szCs w:val="24"/>
              </w:rPr>
              <w:t>0.67</w:t>
            </w: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9" w:type="dxa"/>
            <w:tcBorders>
              <w:left w:val="single" w:color="auto" w:sz="12" w:space="0"/>
            </w:tcBorders>
            <w:vAlign w:val="center"/>
          </w:tcPr>
          <w:p>
            <w:pPr>
              <w:jc w:val="center"/>
              <w:rPr>
                <w:sz w:val="24"/>
                <w:szCs w:val="24"/>
              </w:rPr>
            </w:pPr>
            <w:r>
              <w:rPr>
                <w:rFonts w:hint="eastAsia"/>
                <w:sz w:val="24"/>
                <w:szCs w:val="24"/>
              </w:rPr>
              <w:t>实际总投资</w:t>
            </w:r>
          </w:p>
          <w:p>
            <w:pPr>
              <w:jc w:val="center"/>
              <w:rPr>
                <w:sz w:val="24"/>
                <w:szCs w:val="24"/>
              </w:rPr>
            </w:pPr>
            <w:r>
              <w:rPr>
                <w:rFonts w:hint="eastAsia"/>
                <w:sz w:val="24"/>
                <w:szCs w:val="24"/>
              </w:rPr>
              <w:t>（万元）</w:t>
            </w:r>
          </w:p>
        </w:tc>
        <w:tc>
          <w:tcPr>
            <w:tcW w:w="3006" w:type="dxa"/>
            <w:gridSpan w:val="3"/>
            <w:vAlign w:val="center"/>
          </w:tcPr>
          <w:p>
            <w:pPr>
              <w:jc w:val="center"/>
              <w:rPr>
                <w:sz w:val="24"/>
                <w:szCs w:val="24"/>
              </w:rPr>
            </w:pPr>
            <w:r>
              <w:rPr>
                <w:rFonts w:hint="eastAsia"/>
                <w:sz w:val="24"/>
                <w:szCs w:val="24"/>
              </w:rPr>
              <w:t>1380</w:t>
            </w:r>
          </w:p>
        </w:tc>
        <w:tc>
          <w:tcPr>
            <w:tcW w:w="1260" w:type="dxa"/>
            <w:gridSpan w:val="3"/>
            <w:vAlign w:val="center"/>
          </w:tcPr>
          <w:p>
            <w:pPr>
              <w:jc w:val="center"/>
              <w:rPr>
                <w:bCs/>
                <w:sz w:val="24"/>
                <w:szCs w:val="24"/>
              </w:rPr>
            </w:pPr>
            <w:r>
              <w:rPr>
                <w:rFonts w:hint="eastAsia"/>
                <w:bCs/>
                <w:sz w:val="24"/>
                <w:szCs w:val="24"/>
              </w:rPr>
              <w:t>环保投资（万元）</w:t>
            </w:r>
          </w:p>
        </w:tc>
        <w:tc>
          <w:tcPr>
            <w:tcW w:w="837" w:type="dxa"/>
            <w:vAlign w:val="center"/>
          </w:tcPr>
          <w:p>
            <w:pPr>
              <w:jc w:val="center"/>
              <w:rPr>
                <w:sz w:val="24"/>
                <w:szCs w:val="24"/>
              </w:rPr>
            </w:pPr>
            <w:r>
              <w:rPr>
                <w:rFonts w:hint="eastAsia"/>
                <w:sz w:val="24"/>
                <w:szCs w:val="24"/>
              </w:rPr>
              <w:t>9.5</w:t>
            </w:r>
          </w:p>
        </w:tc>
        <w:tc>
          <w:tcPr>
            <w:tcW w:w="1560" w:type="dxa"/>
            <w:gridSpan w:val="4"/>
            <w:vAlign w:val="center"/>
          </w:tcPr>
          <w:p>
            <w:pPr>
              <w:jc w:val="center"/>
              <w:rPr>
                <w:bCs/>
                <w:sz w:val="24"/>
                <w:szCs w:val="24"/>
              </w:rPr>
            </w:pPr>
            <w:r>
              <w:rPr>
                <w:rFonts w:hint="eastAsia"/>
                <w:bCs/>
                <w:sz w:val="24"/>
                <w:szCs w:val="24"/>
              </w:rPr>
              <w:t>环保投资占总投资比例</w:t>
            </w:r>
          </w:p>
        </w:tc>
        <w:tc>
          <w:tcPr>
            <w:tcW w:w="974" w:type="dxa"/>
            <w:tcBorders>
              <w:right w:val="single" w:color="auto" w:sz="12" w:space="0"/>
            </w:tcBorders>
            <w:vAlign w:val="center"/>
          </w:tcPr>
          <w:p>
            <w:pPr>
              <w:jc w:val="center"/>
              <w:rPr>
                <w:color w:val="FF0000"/>
                <w:sz w:val="24"/>
                <w:szCs w:val="24"/>
              </w:rPr>
            </w:pPr>
            <w:r>
              <w:rPr>
                <w:rFonts w:hint="eastAsia"/>
                <w:sz w:val="24"/>
                <w:szCs w:val="24"/>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5" w:hRule="atLeast"/>
          <w:jc w:val="center"/>
        </w:trPr>
        <w:tc>
          <w:tcPr>
            <w:tcW w:w="1599" w:type="dxa"/>
            <w:tcBorders>
              <w:left w:val="single" w:color="auto" w:sz="12" w:space="0"/>
              <w:bottom w:val="single" w:color="auto" w:sz="4" w:space="0"/>
            </w:tcBorders>
            <w:vAlign w:val="center"/>
          </w:tcPr>
          <w:p>
            <w:pPr>
              <w:jc w:val="center"/>
              <w:rPr>
                <w:sz w:val="24"/>
                <w:szCs w:val="24"/>
              </w:rPr>
            </w:pPr>
            <w:r>
              <w:rPr>
                <w:rFonts w:hint="eastAsia"/>
                <w:sz w:val="24"/>
                <w:szCs w:val="24"/>
              </w:rPr>
              <w:t>环评主体</w:t>
            </w:r>
          </w:p>
          <w:p>
            <w:pPr>
              <w:jc w:val="center"/>
              <w:rPr>
                <w:sz w:val="24"/>
                <w:szCs w:val="24"/>
              </w:rPr>
            </w:pPr>
            <w:r>
              <w:rPr>
                <w:rFonts w:hint="eastAsia"/>
                <w:sz w:val="24"/>
                <w:szCs w:val="24"/>
              </w:rPr>
              <w:t>工程规模</w:t>
            </w:r>
          </w:p>
        </w:tc>
        <w:tc>
          <w:tcPr>
            <w:tcW w:w="4266" w:type="dxa"/>
            <w:gridSpan w:val="6"/>
            <w:tcBorders>
              <w:bottom w:val="single" w:color="auto" w:sz="4" w:space="0"/>
            </w:tcBorders>
            <w:vAlign w:val="center"/>
          </w:tcPr>
          <w:p>
            <w:pPr>
              <w:ind w:firstLine="480" w:firstLineChars="200"/>
            </w:pPr>
            <w:r>
              <w:rPr>
                <w:rFonts w:hint="eastAsia"/>
                <w:bCs/>
                <w:sz w:val="24"/>
                <w:szCs w:val="24"/>
              </w:rPr>
              <w:t>龙安35kV变电站改造灾后恢复重建改造工程：</w:t>
            </w:r>
            <w:r>
              <w:rPr>
                <w:sz w:val="24"/>
                <w:szCs w:val="24"/>
              </w:rPr>
              <w:t>主变</w:t>
            </w:r>
            <w:r>
              <w:rPr>
                <w:rFonts w:hint="eastAsia"/>
                <w:sz w:val="24"/>
                <w:szCs w:val="24"/>
              </w:rPr>
              <w:t>容量</w:t>
            </w:r>
            <w:r>
              <w:rPr>
                <w:sz w:val="24"/>
                <w:szCs w:val="24"/>
              </w:rPr>
              <w:t>1×50MVA、110kV出线</w:t>
            </w:r>
            <w:r>
              <w:rPr>
                <w:rFonts w:hint="eastAsia"/>
                <w:sz w:val="24"/>
                <w:szCs w:val="24"/>
              </w:rPr>
              <w:t>间隔</w:t>
            </w:r>
            <w:r>
              <w:rPr>
                <w:sz w:val="24"/>
                <w:szCs w:val="24"/>
              </w:rPr>
              <w:t>4回。</w:t>
            </w:r>
          </w:p>
        </w:tc>
        <w:tc>
          <w:tcPr>
            <w:tcW w:w="1980" w:type="dxa"/>
            <w:gridSpan w:val="3"/>
            <w:tcBorders>
              <w:bottom w:val="single" w:color="auto" w:sz="4" w:space="0"/>
            </w:tcBorders>
            <w:vAlign w:val="center"/>
          </w:tcPr>
          <w:p>
            <w:pPr>
              <w:jc w:val="center"/>
              <w:rPr>
                <w:sz w:val="24"/>
                <w:szCs w:val="24"/>
              </w:rPr>
            </w:pPr>
            <w:r>
              <w:rPr>
                <w:rFonts w:hint="eastAsia"/>
                <w:sz w:val="24"/>
                <w:szCs w:val="24"/>
              </w:rPr>
              <w:t>工程开工日期</w:t>
            </w:r>
          </w:p>
        </w:tc>
        <w:tc>
          <w:tcPr>
            <w:tcW w:w="1391" w:type="dxa"/>
            <w:gridSpan w:val="3"/>
            <w:tcBorders>
              <w:bottom w:val="single" w:color="auto" w:sz="4" w:space="0"/>
              <w:right w:val="single" w:color="auto" w:sz="12" w:space="0"/>
            </w:tcBorders>
            <w:vAlign w:val="center"/>
          </w:tcPr>
          <w:p>
            <w:pPr>
              <w:jc w:val="center"/>
              <w:rPr>
                <w:sz w:val="24"/>
                <w:szCs w:val="24"/>
              </w:rPr>
            </w:pPr>
            <w:r>
              <w:rPr>
                <w:rFonts w:hint="eastAsia"/>
                <w:bCs/>
                <w:sz w:val="24"/>
                <w:szCs w:val="24"/>
              </w:rPr>
              <w:t>2009.1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5" w:hRule="atLeast"/>
          <w:jc w:val="center"/>
        </w:trPr>
        <w:tc>
          <w:tcPr>
            <w:tcW w:w="1599" w:type="dxa"/>
            <w:tcBorders>
              <w:left w:val="single" w:color="auto" w:sz="12" w:space="0"/>
              <w:bottom w:val="single" w:color="auto" w:sz="8" w:space="0"/>
            </w:tcBorders>
            <w:vAlign w:val="center"/>
          </w:tcPr>
          <w:p>
            <w:pPr>
              <w:jc w:val="center"/>
              <w:rPr>
                <w:sz w:val="24"/>
                <w:szCs w:val="24"/>
              </w:rPr>
            </w:pPr>
            <w:r>
              <w:rPr>
                <w:rFonts w:hint="eastAsia"/>
                <w:sz w:val="24"/>
                <w:szCs w:val="24"/>
              </w:rPr>
              <w:t>实际主体</w:t>
            </w:r>
          </w:p>
          <w:p>
            <w:pPr>
              <w:jc w:val="center"/>
              <w:rPr>
                <w:sz w:val="24"/>
                <w:szCs w:val="24"/>
              </w:rPr>
            </w:pPr>
            <w:r>
              <w:rPr>
                <w:rFonts w:hint="eastAsia"/>
                <w:sz w:val="24"/>
                <w:szCs w:val="24"/>
              </w:rPr>
              <w:t>工程规模</w:t>
            </w:r>
          </w:p>
        </w:tc>
        <w:tc>
          <w:tcPr>
            <w:tcW w:w="4266" w:type="dxa"/>
            <w:gridSpan w:val="6"/>
            <w:tcBorders>
              <w:bottom w:val="single" w:color="auto" w:sz="8" w:space="0"/>
            </w:tcBorders>
            <w:vAlign w:val="center"/>
          </w:tcPr>
          <w:p>
            <w:pPr>
              <w:ind w:firstLine="480" w:firstLineChars="200"/>
              <w:rPr>
                <w:sz w:val="24"/>
                <w:szCs w:val="24"/>
              </w:rPr>
            </w:pPr>
            <w:r>
              <w:rPr>
                <w:rFonts w:hint="eastAsia"/>
                <w:bCs/>
                <w:sz w:val="24"/>
                <w:szCs w:val="24"/>
              </w:rPr>
              <w:t>龙安35kV变电站改造灾后恢复重建改造工程“运行名为（龙安110kV变电站）”：</w:t>
            </w:r>
            <w:r>
              <w:rPr>
                <w:sz w:val="24"/>
                <w:szCs w:val="24"/>
              </w:rPr>
              <w:t>主变</w:t>
            </w:r>
            <w:r>
              <w:rPr>
                <w:rFonts w:hint="eastAsia"/>
                <w:sz w:val="24"/>
                <w:szCs w:val="24"/>
              </w:rPr>
              <w:t>容量</w:t>
            </w:r>
            <w:r>
              <w:rPr>
                <w:sz w:val="24"/>
                <w:szCs w:val="24"/>
              </w:rPr>
              <w:t>1×50MVA</w:t>
            </w:r>
            <w:r>
              <w:rPr>
                <w:rFonts w:hint="eastAsia"/>
                <w:sz w:val="24"/>
                <w:szCs w:val="24"/>
              </w:rPr>
              <w:t>、</w:t>
            </w:r>
            <w:r>
              <w:rPr>
                <w:sz w:val="24"/>
                <w:szCs w:val="24"/>
              </w:rPr>
              <w:t>110kV出线</w:t>
            </w:r>
            <w:r>
              <w:rPr>
                <w:rFonts w:hint="eastAsia"/>
                <w:sz w:val="24"/>
                <w:szCs w:val="24"/>
              </w:rPr>
              <w:t>间隔4</w:t>
            </w:r>
            <w:r>
              <w:rPr>
                <w:sz w:val="24"/>
                <w:szCs w:val="24"/>
              </w:rPr>
              <w:t>回。</w:t>
            </w:r>
          </w:p>
        </w:tc>
        <w:tc>
          <w:tcPr>
            <w:tcW w:w="1980" w:type="dxa"/>
            <w:gridSpan w:val="3"/>
            <w:tcBorders>
              <w:bottom w:val="single" w:color="auto" w:sz="8" w:space="0"/>
            </w:tcBorders>
            <w:vAlign w:val="center"/>
          </w:tcPr>
          <w:p>
            <w:pPr>
              <w:jc w:val="center"/>
              <w:rPr>
                <w:sz w:val="24"/>
                <w:szCs w:val="24"/>
              </w:rPr>
            </w:pPr>
            <w:r>
              <w:rPr>
                <w:rFonts w:hint="eastAsia"/>
                <w:sz w:val="24"/>
                <w:szCs w:val="24"/>
              </w:rPr>
              <w:t>投入运行日期</w:t>
            </w:r>
          </w:p>
        </w:tc>
        <w:tc>
          <w:tcPr>
            <w:tcW w:w="1391" w:type="dxa"/>
            <w:gridSpan w:val="3"/>
            <w:tcBorders>
              <w:bottom w:val="single" w:color="auto" w:sz="8" w:space="0"/>
              <w:right w:val="single" w:color="auto" w:sz="12" w:space="0"/>
            </w:tcBorders>
            <w:vAlign w:val="center"/>
          </w:tcPr>
          <w:p>
            <w:pPr>
              <w:jc w:val="center"/>
              <w:rPr>
                <w:sz w:val="24"/>
                <w:szCs w:val="24"/>
              </w:rPr>
            </w:pPr>
            <w:r>
              <w:rPr>
                <w:rFonts w:hint="eastAsia"/>
                <w:bCs/>
                <w:sz w:val="24"/>
                <w:szCs w:val="24"/>
              </w:rPr>
              <w:t>2009.12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42" w:hRule="atLeast"/>
          <w:jc w:val="center"/>
        </w:trPr>
        <w:tc>
          <w:tcPr>
            <w:tcW w:w="1599" w:type="dxa"/>
            <w:tcBorders>
              <w:top w:val="single" w:color="auto" w:sz="8" w:space="0"/>
              <w:left w:val="single" w:color="auto" w:sz="12" w:space="0"/>
              <w:bottom w:val="single" w:color="auto" w:sz="12" w:space="0"/>
            </w:tcBorders>
            <w:vAlign w:val="center"/>
          </w:tcPr>
          <w:p>
            <w:pPr>
              <w:jc w:val="center"/>
              <w:rPr>
                <w:sz w:val="24"/>
                <w:szCs w:val="24"/>
              </w:rPr>
            </w:pPr>
            <w:r>
              <w:rPr>
                <w:rFonts w:hint="eastAsia"/>
                <w:sz w:val="24"/>
                <w:szCs w:val="24"/>
              </w:rPr>
              <w:t>主体工程规模变更情况</w:t>
            </w:r>
          </w:p>
        </w:tc>
        <w:tc>
          <w:tcPr>
            <w:tcW w:w="7637" w:type="dxa"/>
            <w:gridSpan w:val="12"/>
            <w:tcBorders>
              <w:top w:val="single" w:color="auto" w:sz="8" w:space="0"/>
              <w:bottom w:val="single" w:color="auto" w:sz="12" w:space="0"/>
              <w:right w:val="single" w:color="auto" w:sz="12" w:space="0"/>
            </w:tcBorders>
            <w:vAlign w:val="center"/>
          </w:tcPr>
          <w:p>
            <w:pPr>
              <w:ind w:firstLine="480" w:firstLineChars="200"/>
              <w:rPr>
                <w:bCs/>
                <w:sz w:val="24"/>
                <w:szCs w:val="24"/>
              </w:rPr>
            </w:pPr>
            <w:r>
              <w:rPr>
                <w:rFonts w:hint="eastAsia"/>
                <w:bCs/>
                <w:sz w:val="24"/>
                <w:szCs w:val="24"/>
              </w:rPr>
              <w:t>依据中华人民共和国环境保护部关于印发《输变电建设项目重大变动清单（试行）》的通知（环办辐射[2016]84号），对照环评建设规模与实际建设规模，经验收调查单位现场调查，本工程不涉及重大变更项。</w:t>
            </w:r>
          </w:p>
          <w:p>
            <w:pPr>
              <w:rPr>
                <w:bCs/>
                <w:sz w:val="24"/>
                <w:szCs w:val="24"/>
              </w:rPr>
            </w:pPr>
            <w:r>
              <w:rPr>
                <w:rFonts w:hint="eastAsia"/>
                <w:bCs/>
                <w:sz w:val="24"/>
                <w:szCs w:val="24"/>
              </w:rPr>
              <w:t>变电站：本期建设规模未超出环评规模。</w:t>
            </w:r>
          </w:p>
        </w:tc>
      </w:tr>
    </w:tbl>
    <w:p>
      <w:pPr>
        <w:sectPr>
          <w:headerReference r:id="rId5" w:type="default"/>
          <w:footerReference r:id="rId6" w:type="default"/>
          <w:pgSz w:w="11906" w:h="16838"/>
          <w:pgMar w:top="1440" w:right="1800" w:bottom="1440" w:left="1800" w:header="851" w:footer="992" w:gutter="0"/>
          <w:pgNumType w:start="1"/>
          <w:cols w:space="720" w:num="1"/>
          <w:docGrid w:type="lines" w:linePitch="312" w:charSpace="0"/>
        </w:sectPr>
      </w:pPr>
    </w:p>
    <w:p>
      <w:pPr>
        <w:pStyle w:val="2"/>
        <w:spacing w:before="0" w:after="0" w:line="360" w:lineRule="auto"/>
        <w:rPr>
          <w:rFonts w:ascii="宋体" w:hAnsi="宋体"/>
          <w:sz w:val="32"/>
          <w:szCs w:val="32"/>
        </w:rPr>
      </w:pPr>
      <w:bookmarkStart w:id="1" w:name="_Toc483476020"/>
      <w:r>
        <w:rPr>
          <w:rFonts w:hint="eastAsia" w:ascii="宋体" w:hAnsi="宋体"/>
          <w:sz w:val="32"/>
          <w:szCs w:val="32"/>
        </w:rPr>
        <w:t>表二 调查范围、环境监测因子、敏感目标、调查重点</w:t>
      </w:r>
      <w:bookmarkEnd w:id="1"/>
    </w:p>
    <w:tbl>
      <w:tblPr>
        <w:tblStyle w:val="17"/>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8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97" w:hRule="atLeast"/>
        </w:trPr>
        <w:tc>
          <w:tcPr>
            <w:tcW w:w="464" w:type="dxa"/>
            <w:tcBorders>
              <w:top w:val="single" w:color="auto" w:sz="12" w:space="0"/>
              <w:left w:val="single" w:color="auto" w:sz="12" w:space="0"/>
              <w:bottom w:val="single" w:color="auto" w:sz="12" w:space="0"/>
            </w:tcBorders>
            <w:vAlign w:val="center"/>
          </w:tcPr>
          <w:p>
            <w:pPr>
              <w:spacing w:line="400" w:lineRule="exact"/>
              <w:jc w:val="center"/>
              <w:rPr>
                <w:rFonts w:ascii="宋体" w:hAnsi="宋体" w:cs="宋体"/>
                <w:b/>
                <w:sz w:val="24"/>
                <w:szCs w:val="24"/>
              </w:rPr>
            </w:pPr>
            <w:r>
              <w:rPr>
                <w:rFonts w:hint="eastAsia" w:ascii="宋体" w:hAnsi="宋体" w:cs="宋体"/>
                <w:b/>
                <w:sz w:val="24"/>
                <w:szCs w:val="24"/>
              </w:rPr>
              <w:t>调</w:t>
            </w:r>
          </w:p>
          <w:p>
            <w:pPr>
              <w:spacing w:line="400" w:lineRule="exact"/>
              <w:jc w:val="center"/>
              <w:rPr>
                <w:rFonts w:ascii="宋体" w:hAnsi="宋体" w:cs="宋体"/>
                <w:b/>
                <w:sz w:val="24"/>
                <w:szCs w:val="24"/>
              </w:rPr>
            </w:pPr>
            <w:r>
              <w:rPr>
                <w:rFonts w:hint="eastAsia" w:ascii="宋体" w:hAnsi="宋体" w:cs="宋体"/>
                <w:b/>
                <w:sz w:val="24"/>
                <w:szCs w:val="24"/>
              </w:rPr>
              <w:t>查</w:t>
            </w:r>
          </w:p>
          <w:p>
            <w:pPr>
              <w:spacing w:line="400" w:lineRule="exact"/>
              <w:jc w:val="center"/>
              <w:rPr>
                <w:rFonts w:ascii="宋体" w:hAnsi="宋体" w:cs="宋体"/>
                <w:b/>
                <w:sz w:val="24"/>
                <w:szCs w:val="24"/>
              </w:rPr>
            </w:pPr>
            <w:r>
              <w:rPr>
                <w:rFonts w:hint="eastAsia" w:ascii="宋体" w:hAnsi="宋体" w:cs="宋体"/>
                <w:b/>
                <w:sz w:val="24"/>
                <w:szCs w:val="24"/>
              </w:rPr>
              <w:t>范</w:t>
            </w:r>
          </w:p>
          <w:p>
            <w:pPr>
              <w:spacing w:line="400" w:lineRule="exact"/>
              <w:jc w:val="center"/>
              <w:rPr>
                <w:rFonts w:eastAsia="仿宋_GB2312"/>
                <w:b/>
                <w:sz w:val="24"/>
                <w:szCs w:val="24"/>
              </w:rPr>
            </w:pPr>
            <w:r>
              <w:rPr>
                <w:rFonts w:hint="eastAsia" w:ascii="宋体" w:hAnsi="宋体" w:cs="宋体"/>
                <w:b/>
                <w:sz w:val="24"/>
                <w:szCs w:val="24"/>
              </w:rPr>
              <w:t>围</w:t>
            </w:r>
          </w:p>
        </w:tc>
        <w:tc>
          <w:tcPr>
            <w:tcW w:w="8467" w:type="dxa"/>
            <w:tcBorders>
              <w:top w:val="single" w:color="auto" w:sz="12" w:space="0"/>
              <w:bottom w:val="single" w:color="auto" w:sz="12" w:space="0"/>
              <w:right w:val="single" w:color="auto" w:sz="12" w:space="0"/>
            </w:tcBorders>
            <w:vAlign w:val="center"/>
          </w:tcPr>
          <w:p>
            <w:pPr>
              <w:spacing w:beforeLines="50" w:line="360" w:lineRule="auto"/>
              <w:ind w:firstLine="480" w:firstLineChars="200"/>
              <w:rPr>
                <w:bCs/>
                <w:sz w:val="24"/>
              </w:rPr>
            </w:pPr>
            <w:r>
              <w:rPr>
                <w:rFonts w:hint="eastAsia" w:ascii="宋体" w:hAnsi="宋体"/>
                <w:sz w:val="24"/>
                <w:szCs w:val="24"/>
              </w:rPr>
              <w:t>本项目于</w:t>
            </w:r>
            <w:r>
              <w:rPr>
                <w:sz w:val="24"/>
                <w:szCs w:val="24"/>
              </w:rPr>
              <w:t>201</w:t>
            </w:r>
            <w:r>
              <w:rPr>
                <w:rFonts w:hint="eastAsia"/>
                <w:sz w:val="24"/>
                <w:szCs w:val="24"/>
              </w:rPr>
              <w:t>6</w:t>
            </w:r>
            <w:r>
              <w:rPr>
                <w:sz w:val="24"/>
                <w:szCs w:val="24"/>
              </w:rPr>
              <w:t>年</w:t>
            </w:r>
            <w:r>
              <w:rPr>
                <w:rFonts w:hint="eastAsia"/>
                <w:sz w:val="24"/>
                <w:szCs w:val="24"/>
              </w:rPr>
              <w:t>完成</w:t>
            </w:r>
            <w:r>
              <w:rPr>
                <w:sz w:val="24"/>
                <w:szCs w:val="24"/>
              </w:rPr>
              <w:t>环评，</w:t>
            </w:r>
            <w:r>
              <w:rPr>
                <w:rFonts w:hint="eastAsia" w:ascii="宋体" w:hAnsi="宋体"/>
                <w:sz w:val="24"/>
                <w:szCs w:val="24"/>
              </w:rPr>
              <w:t>环评阶段</w:t>
            </w:r>
            <w:r>
              <w:rPr>
                <w:rFonts w:hint="eastAsia"/>
                <w:bCs/>
                <w:sz w:val="24"/>
              </w:rPr>
              <w:t>根据</w:t>
            </w:r>
            <w:r>
              <w:rPr>
                <w:bCs/>
                <w:sz w:val="24"/>
              </w:rPr>
              <w:t>《</w:t>
            </w:r>
            <w:r>
              <w:rPr>
                <w:rFonts w:hint="eastAsia"/>
                <w:bCs/>
                <w:sz w:val="24"/>
              </w:rPr>
              <w:t>环境影响评价技术导则  输变电工程</w:t>
            </w:r>
            <w:r>
              <w:rPr>
                <w:bCs/>
                <w:sz w:val="24"/>
              </w:rPr>
              <w:t>》(HJ24-</w:t>
            </w:r>
            <w:r>
              <w:rPr>
                <w:rFonts w:hint="eastAsia"/>
                <w:bCs/>
                <w:sz w:val="24"/>
              </w:rPr>
              <w:t>2014</w:t>
            </w:r>
            <w:r>
              <w:rPr>
                <w:bCs/>
                <w:sz w:val="24"/>
              </w:rPr>
              <w:t>)</w:t>
            </w:r>
            <w:r>
              <w:rPr>
                <w:rFonts w:hint="eastAsia"/>
                <w:bCs/>
                <w:sz w:val="24"/>
              </w:rPr>
              <w:t>、</w:t>
            </w:r>
            <w:r>
              <w:rPr>
                <w:bCs/>
                <w:sz w:val="24"/>
              </w:rPr>
              <w:t>《</w:t>
            </w:r>
            <w:r>
              <w:rPr>
                <w:rFonts w:hint="eastAsia"/>
                <w:bCs/>
                <w:sz w:val="24"/>
              </w:rPr>
              <w:t>环境影响评价技术导则 生态影响</w:t>
            </w:r>
            <w:r>
              <w:rPr>
                <w:bCs/>
                <w:sz w:val="24"/>
              </w:rPr>
              <w:t>》(HJ</w:t>
            </w:r>
            <w:r>
              <w:rPr>
                <w:rFonts w:hint="eastAsia"/>
                <w:bCs/>
                <w:sz w:val="24"/>
              </w:rPr>
              <w:t>19</w:t>
            </w:r>
            <w:r>
              <w:rPr>
                <w:bCs/>
                <w:sz w:val="24"/>
              </w:rPr>
              <w:t>-</w:t>
            </w:r>
            <w:r>
              <w:rPr>
                <w:rFonts w:hint="eastAsia"/>
                <w:bCs/>
                <w:sz w:val="24"/>
              </w:rPr>
              <w:t>2011</w:t>
            </w:r>
            <w:r>
              <w:rPr>
                <w:bCs/>
                <w:sz w:val="24"/>
              </w:rPr>
              <w:t>)</w:t>
            </w:r>
            <w:r>
              <w:rPr>
                <w:rFonts w:hint="eastAsia"/>
                <w:bCs/>
                <w:sz w:val="24"/>
              </w:rPr>
              <w:t>、《环境影响评价技术导则 声环境》（</w:t>
            </w:r>
            <w:r>
              <w:rPr>
                <w:bCs/>
                <w:sz w:val="24"/>
              </w:rPr>
              <w:t>HJ</w:t>
            </w:r>
            <w:r>
              <w:rPr>
                <w:rFonts w:hint="eastAsia"/>
                <w:bCs/>
                <w:sz w:val="24"/>
              </w:rPr>
              <w:t>2.4</w:t>
            </w:r>
            <w:r>
              <w:rPr>
                <w:bCs/>
                <w:sz w:val="24"/>
              </w:rPr>
              <w:t>-</w:t>
            </w:r>
            <w:r>
              <w:rPr>
                <w:rFonts w:hint="eastAsia"/>
                <w:bCs/>
                <w:sz w:val="24"/>
              </w:rPr>
              <w:t>2009）和</w:t>
            </w:r>
            <w:r>
              <w:rPr>
                <w:bCs/>
                <w:sz w:val="24"/>
              </w:rPr>
              <w:t>《</w:t>
            </w:r>
            <w:r>
              <w:rPr>
                <w:rFonts w:hint="eastAsia"/>
                <w:bCs/>
                <w:sz w:val="24"/>
              </w:rPr>
              <w:t>环境影响评价技术导则 总纲</w:t>
            </w:r>
            <w:r>
              <w:rPr>
                <w:bCs/>
                <w:sz w:val="24"/>
              </w:rPr>
              <w:t>》(HJ</w:t>
            </w:r>
            <w:r>
              <w:rPr>
                <w:rFonts w:hint="eastAsia"/>
                <w:bCs/>
                <w:sz w:val="24"/>
              </w:rPr>
              <w:t>2.1</w:t>
            </w:r>
            <w:r>
              <w:rPr>
                <w:bCs/>
                <w:sz w:val="24"/>
              </w:rPr>
              <w:t>-</w:t>
            </w:r>
            <w:r>
              <w:rPr>
                <w:rFonts w:hint="eastAsia"/>
                <w:bCs/>
                <w:sz w:val="24"/>
              </w:rPr>
              <w:t>2011</w:t>
            </w:r>
            <w:r>
              <w:rPr>
                <w:bCs/>
                <w:sz w:val="24"/>
              </w:rPr>
              <w:t>)</w:t>
            </w:r>
            <w:r>
              <w:rPr>
                <w:rFonts w:hint="eastAsia"/>
                <w:bCs/>
                <w:sz w:val="24"/>
              </w:rPr>
              <w:t>以</w:t>
            </w:r>
            <w:r>
              <w:rPr>
                <w:bCs/>
                <w:sz w:val="24"/>
              </w:rPr>
              <w:t>及现场踏勘调查情况</w:t>
            </w:r>
            <w:r>
              <w:rPr>
                <w:rFonts w:hint="eastAsia"/>
                <w:bCs/>
                <w:sz w:val="24"/>
              </w:rPr>
              <w:t>，</w:t>
            </w:r>
            <w:r>
              <w:rPr>
                <w:bCs/>
                <w:sz w:val="24"/>
              </w:rPr>
              <w:t>结合</w:t>
            </w:r>
            <w:r>
              <w:rPr>
                <w:rFonts w:hint="eastAsia"/>
                <w:bCs/>
                <w:sz w:val="24"/>
              </w:rPr>
              <w:t>11</w:t>
            </w:r>
            <w:r>
              <w:rPr>
                <w:bCs/>
                <w:sz w:val="24"/>
              </w:rPr>
              <w:t>0kV输变电工程特点</w:t>
            </w:r>
            <w:r>
              <w:rPr>
                <w:rFonts w:hint="eastAsia"/>
                <w:bCs/>
                <w:sz w:val="24"/>
              </w:rPr>
              <w:t>和</w:t>
            </w:r>
            <w:r>
              <w:rPr>
                <w:bCs/>
                <w:sz w:val="24"/>
              </w:rPr>
              <w:t>其它</w:t>
            </w:r>
            <w:r>
              <w:rPr>
                <w:rFonts w:hint="eastAsia"/>
                <w:bCs/>
                <w:sz w:val="24"/>
              </w:rPr>
              <w:t>11</w:t>
            </w:r>
            <w:r>
              <w:rPr>
                <w:bCs/>
                <w:sz w:val="24"/>
              </w:rPr>
              <w:t>0kV输变电工程的</w:t>
            </w:r>
            <w:r>
              <w:rPr>
                <w:rFonts w:hint="eastAsia"/>
                <w:bCs/>
                <w:sz w:val="24"/>
              </w:rPr>
              <w:t>类比</w:t>
            </w:r>
            <w:r>
              <w:rPr>
                <w:bCs/>
                <w:sz w:val="24"/>
              </w:rPr>
              <w:t>分析，</w:t>
            </w:r>
            <w:r>
              <w:rPr>
                <w:rFonts w:hint="eastAsia"/>
                <w:bCs/>
                <w:sz w:val="24"/>
              </w:rPr>
              <w:t>制定了如下评价范围：</w:t>
            </w:r>
          </w:p>
          <w:p>
            <w:pPr>
              <w:ind w:firstLine="480" w:firstLineChars="200"/>
              <w:rPr>
                <w:sz w:val="24"/>
                <w:szCs w:val="24"/>
              </w:rPr>
            </w:pPr>
            <w:r>
              <w:rPr>
                <w:sz w:val="24"/>
                <w:szCs w:val="24"/>
              </w:rPr>
              <w:t xml:space="preserve">(1) </w:t>
            </w:r>
            <w:r>
              <w:rPr>
                <w:rFonts w:hint="eastAsia" w:ascii="宋体" w:hAnsi="宋体"/>
                <w:sz w:val="24"/>
                <w:szCs w:val="24"/>
              </w:rPr>
              <w:t>工频电场、工频磁场</w:t>
            </w:r>
          </w:p>
          <w:p>
            <w:pPr>
              <w:spacing w:line="360" w:lineRule="auto"/>
              <w:ind w:firstLine="480" w:firstLineChars="200"/>
              <w:rPr>
                <w:bCs/>
                <w:sz w:val="24"/>
              </w:rPr>
            </w:pPr>
            <w:r>
              <w:rPr>
                <w:rFonts w:hint="eastAsia"/>
                <w:bCs/>
                <w:sz w:val="24"/>
              </w:rPr>
              <w:t>变电站围墙外30m以内区域</w:t>
            </w:r>
          </w:p>
          <w:p>
            <w:pPr>
              <w:spacing w:line="360" w:lineRule="auto"/>
              <w:ind w:firstLine="480" w:firstLineChars="200"/>
              <w:rPr>
                <w:bCs/>
                <w:sz w:val="24"/>
              </w:rPr>
            </w:pPr>
            <w:r>
              <w:rPr>
                <w:sz w:val="24"/>
                <w:szCs w:val="24"/>
              </w:rPr>
              <w:t>(</w:t>
            </w:r>
            <w:r>
              <w:rPr>
                <w:rFonts w:hint="eastAsia"/>
                <w:sz w:val="24"/>
                <w:szCs w:val="24"/>
              </w:rPr>
              <w:t>2</w:t>
            </w:r>
            <w:r>
              <w:rPr>
                <w:sz w:val="24"/>
                <w:szCs w:val="24"/>
              </w:rPr>
              <w:t xml:space="preserve">) </w:t>
            </w:r>
            <w:r>
              <w:rPr>
                <w:rFonts w:ascii="宋体" w:hAnsi="宋体"/>
                <w:sz w:val="24"/>
                <w:szCs w:val="24"/>
              </w:rPr>
              <w:t>噪声</w:t>
            </w:r>
          </w:p>
          <w:p>
            <w:pPr>
              <w:spacing w:line="360" w:lineRule="auto"/>
              <w:ind w:firstLine="480" w:firstLineChars="200"/>
              <w:rPr>
                <w:bCs/>
                <w:sz w:val="24"/>
              </w:rPr>
            </w:pPr>
            <w:r>
              <w:rPr>
                <w:rFonts w:hint="eastAsia"/>
                <w:bCs/>
                <w:sz w:val="24"/>
              </w:rPr>
              <w:t>变电站围墙外30m以内区域</w:t>
            </w:r>
          </w:p>
          <w:p>
            <w:pPr>
              <w:spacing w:line="360" w:lineRule="auto"/>
              <w:ind w:firstLine="480" w:firstLineChars="200"/>
              <w:rPr>
                <w:sz w:val="24"/>
              </w:rPr>
            </w:pPr>
            <w:r>
              <w:rPr>
                <w:rFonts w:hint="eastAsia" w:ascii="宋体" w:hAnsi="宋体"/>
                <w:sz w:val="24"/>
                <w:szCs w:val="24"/>
              </w:rPr>
              <w:t>验收阶段根据</w:t>
            </w:r>
            <w:r>
              <w:rPr>
                <w:sz w:val="24"/>
                <w:szCs w:val="24"/>
              </w:rPr>
              <w:t>2015年1月1日</w:t>
            </w:r>
            <w:r>
              <w:rPr>
                <w:rFonts w:hint="eastAsia" w:ascii="宋体" w:hAnsi="宋体"/>
                <w:sz w:val="24"/>
                <w:szCs w:val="24"/>
              </w:rPr>
              <w:t>颁布实施的《建设项目竣工环境保护验收技术规范输变电工程》（</w:t>
            </w:r>
            <w:r>
              <w:rPr>
                <w:rFonts w:hint="eastAsia"/>
                <w:sz w:val="24"/>
                <w:szCs w:val="24"/>
              </w:rPr>
              <w:t>HJ705-2014</w:t>
            </w:r>
            <w:r>
              <w:rPr>
                <w:rFonts w:hint="eastAsia" w:ascii="宋体" w:hAnsi="宋体"/>
                <w:sz w:val="24"/>
                <w:szCs w:val="24"/>
              </w:rPr>
              <w:t>）及项目实际情况，监测（调查）范围如下：</w:t>
            </w:r>
          </w:p>
          <w:p>
            <w:pPr>
              <w:ind w:firstLine="480" w:firstLineChars="200"/>
              <w:rPr>
                <w:sz w:val="24"/>
              </w:rPr>
            </w:pPr>
            <w:r>
              <w:rPr>
                <w:sz w:val="24"/>
              </w:rPr>
              <w:t xml:space="preserve">(1) </w:t>
            </w:r>
            <w:r>
              <w:rPr>
                <w:rFonts w:hint="eastAsia"/>
                <w:sz w:val="24"/>
              </w:rPr>
              <w:t>工频电场、工频磁场</w:t>
            </w:r>
          </w:p>
          <w:p>
            <w:pPr>
              <w:spacing w:line="360" w:lineRule="auto"/>
              <w:ind w:firstLine="480"/>
              <w:rPr>
                <w:sz w:val="24"/>
              </w:rPr>
            </w:pPr>
            <w:r>
              <w:rPr>
                <w:rFonts w:hint="eastAsia"/>
                <w:sz w:val="24"/>
              </w:rPr>
              <w:t xml:space="preserve">110kV变电站：变电站站界外30m </w:t>
            </w:r>
            <w:r>
              <w:rPr>
                <w:rFonts w:hint="eastAsia" w:cs="宋体"/>
                <w:sz w:val="24"/>
              </w:rPr>
              <w:t>范围内</w:t>
            </w:r>
            <w:r>
              <w:rPr>
                <w:rFonts w:hint="eastAsia"/>
                <w:sz w:val="24"/>
              </w:rPr>
              <w:t>。</w:t>
            </w:r>
          </w:p>
          <w:p>
            <w:pPr>
              <w:spacing w:line="360" w:lineRule="auto"/>
              <w:ind w:firstLine="480" w:firstLineChars="200"/>
              <w:rPr>
                <w:sz w:val="24"/>
              </w:rPr>
            </w:pPr>
            <w:r>
              <w:rPr>
                <w:sz w:val="24"/>
              </w:rPr>
              <w:t>(</w:t>
            </w:r>
            <w:r>
              <w:rPr>
                <w:rFonts w:hint="eastAsia"/>
                <w:sz w:val="24"/>
              </w:rPr>
              <w:t>2</w:t>
            </w:r>
            <w:r>
              <w:rPr>
                <w:sz w:val="24"/>
              </w:rPr>
              <w:t xml:space="preserve">) </w:t>
            </w:r>
            <w:r>
              <w:rPr>
                <w:rFonts w:hAnsi="宋体"/>
                <w:sz w:val="24"/>
              </w:rPr>
              <w:t>噪声</w:t>
            </w:r>
          </w:p>
          <w:p>
            <w:pPr>
              <w:spacing w:line="360" w:lineRule="auto"/>
              <w:ind w:firstLine="480" w:firstLineChars="200"/>
              <w:rPr>
                <w:sz w:val="24"/>
                <w:szCs w:val="24"/>
              </w:rPr>
            </w:pPr>
            <w:r>
              <w:rPr>
                <w:rFonts w:hint="eastAsia"/>
                <w:sz w:val="24"/>
                <w:szCs w:val="24"/>
              </w:rPr>
              <w:t>110kV</w:t>
            </w:r>
            <w:r>
              <w:rPr>
                <w:rFonts w:ascii="宋体" w:hAnsi="宋体"/>
                <w:sz w:val="24"/>
                <w:szCs w:val="24"/>
              </w:rPr>
              <w:t>变电站厂界噪声：变电站围墙外</w:t>
            </w:r>
            <w:r>
              <w:rPr>
                <w:sz w:val="24"/>
                <w:szCs w:val="24"/>
              </w:rPr>
              <w:t>1m</w:t>
            </w:r>
            <w:r>
              <w:rPr>
                <w:rFonts w:ascii="宋体" w:hAnsi="宋体"/>
                <w:sz w:val="24"/>
                <w:szCs w:val="24"/>
              </w:rPr>
              <w:t>；</w:t>
            </w:r>
          </w:p>
          <w:p>
            <w:pPr>
              <w:spacing w:line="360" w:lineRule="auto"/>
              <w:ind w:firstLine="480"/>
              <w:rPr>
                <w:sz w:val="24"/>
              </w:rPr>
            </w:pPr>
            <w:r>
              <w:rPr>
                <w:rFonts w:hint="eastAsia"/>
                <w:sz w:val="24"/>
                <w:szCs w:val="24"/>
              </w:rPr>
              <w:t>110kV</w:t>
            </w:r>
            <w:r>
              <w:rPr>
                <w:rFonts w:ascii="宋体" w:hAnsi="宋体"/>
                <w:sz w:val="24"/>
                <w:szCs w:val="24"/>
              </w:rPr>
              <w:t>变电站周围环境噪声：</w:t>
            </w:r>
            <w:r>
              <w:rPr>
                <w:rFonts w:hint="eastAsia" w:ascii="宋体" w:hAnsi="宋体"/>
                <w:sz w:val="24"/>
                <w:szCs w:val="24"/>
              </w:rPr>
              <w:t>变电站围墙外</w:t>
            </w:r>
            <w:r>
              <w:rPr>
                <w:rFonts w:hint="eastAsia"/>
                <w:sz w:val="24"/>
                <w:szCs w:val="24"/>
              </w:rPr>
              <w:t xml:space="preserve">100m </w:t>
            </w:r>
            <w:r>
              <w:rPr>
                <w:rFonts w:hint="eastAsia" w:ascii="宋体" w:hAnsi="宋体"/>
                <w:sz w:val="24"/>
                <w:szCs w:val="24"/>
              </w:rPr>
              <w:t>范围内。</w:t>
            </w:r>
          </w:p>
          <w:p>
            <w:pPr>
              <w:spacing w:line="360" w:lineRule="auto"/>
              <w:ind w:firstLine="480" w:firstLineChars="200"/>
              <w:rPr>
                <w:sz w:val="24"/>
              </w:rPr>
            </w:pPr>
            <w:r>
              <w:rPr>
                <w:sz w:val="24"/>
              </w:rPr>
              <w:t>(</w:t>
            </w:r>
            <w:r>
              <w:rPr>
                <w:rFonts w:hint="eastAsia"/>
                <w:sz w:val="24"/>
              </w:rPr>
              <w:t>3</w:t>
            </w:r>
            <w:r>
              <w:rPr>
                <w:sz w:val="24"/>
              </w:rPr>
              <w:t>)</w:t>
            </w:r>
            <w:r>
              <w:rPr>
                <w:rFonts w:hAnsi="宋体"/>
                <w:sz w:val="24"/>
              </w:rPr>
              <w:t>生态</w:t>
            </w:r>
          </w:p>
          <w:p>
            <w:pPr>
              <w:spacing w:line="360" w:lineRule="auto"/>
              <w:ind w:firstLine="480" w:firstLineChars="200"/>
              <w:rPr>
                <w:rFonts w:ascii="宋体" w:hAnsi="宋体"/>
                <w:sz w:val="24"/>
                <w:szCs w:val="24"/>
              </w:rPr>
            </w:pPr>
            <w:r>
              <w:rPr>
                <w:rFonts w:hAnsi="宋体"/>
                <w:sz w:val="24"/>
              </w:rPr>
              <w:t>变电站</w:t>
            </w:r>
            <w:r>
              <w:rPr>
                <w:rFonts w:hint="eastAsia" w:hAnsi="宋体"/>
                <w:sz w:val="24"/>
              </w:rPr>
              <w:t>：站场围墙外500m内</w:t>
            </w:r>
            <w:r>
              <w:rPr>
                <w:rFonts w:ascii="宋体" w:hAnsi="宋体"/>
                <w:sz w:val="24"/>
                <w:szCs w:val="24"/>
              </w:rPr>
              <w:t>。</w:t>
            </w:r>
          </w:p>
          <w:p>
            <w:pPr>
              <w:spacing w:line="360" w:lineRule="auto"/>
              <w:ind w:firstLine="480" w:firstLineChars="200"/>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28" w:hRule="atLeast"/>
        </w:trPr>
        <w:tc>
          <w:tcPr>
            <w:tcW w:w="464" w:type="dxa"/>
            <w:tcBorders>
              <w:top w:val="single" w:color="auto" w:sz="12" w:space="0"/>
              <w:left w:val="single" w:color="auto" w:sz="12" w:space="0"/>
              <w:bottom w:val="single" w:color="auto" w:sz="12" w:space="0"/>
            </w:tcBorders>
            <w:vAlign w:val="center"/>
          </w:tcPr>
          <w:p>
            <w:pPr>
              <w:spacing w:line="400" w:lineRule="exact"/>
              <w:jc w:val="center"/>
              <w:rPr>
                <w:rFonts w:ascii="宋体" w:hAnsi="宋体" w:cs="宋体"/>
                <w:b/>
                <w:sz w:val="24"/>
                <w:szCs w:val="24"/>
              </w:rPr>
            </w:pPr>
            <w:r>
              <w:rPr>
                <w:rFonts w:hint="eastAsia" w:ascii="宋体" w:hAnsi="宋体" w:cs="宋体"/>
                <w:b/>
                <w:sz w:val="24"/>
                <w:szCs w:val="24"/>
              </w:rPr>
              <w:t>环境</w:t>
            </w:r>
          </w:p>
          <w:p>
            <w:pPr>
              <w:spacing w:line="400" w:lineRule="exact"/>
              <w:jc w:val="center"/>
              <w:rPr>
                <w:rFonts w:ascii="宋体" w:hAnsi="宋体" w:cs="宋体"/>
                <w:b/>
                <w:sz w:val="24"/>
                <w:szCs w:val="24"/>
              </w:rPr>
            </w:pPr>
            <w:r>
              <w:rPr>
                <w:rFonts w:hint="eastAsia" w:ascii="宋体" w:hAnsi="宋体" w:cs="宋体"/>
                <w:b/>
                <w:sz w:val="24"/>
                <w:szCs w:val="24"/>
              </w:rPr>
              <w:t>监测</w:t>
            </w:r>
          </w:p>
          <w:p>
            <w:pPr>
              <w:spacing w:line="400" w:lineRule="exact"/>
              <w:jc w:val="center"/>
              <w:rPr>
                <w:rFonts w:ascii="宋体" w:hAnsi="宋体" w:cs="宋体"/>
                <w:b/>
                <w:sz w:val="24"/>
                <w:szCs w:val="24"/>
              </w:rPr>
            </w:pPr>
            <w:r>
              <w:rPr>
                <w:rFonts w:hint="eastAsia" w:ascii="宋体" w:hAnsi="宋体" w:cs="宋体"/>
                <w:b/>
                <w:sz w:val="24"/>
                <w:szCs w:val="24"/>
              </w:rPr>
              <w:t>因子</w:t>
            </w:r>
          </w:p>
        </w:tc>
        <w:tc>
          <w:tcPr>
            <w:tcW w:w="8467" w:type="dxa"/>
            <w:tcBorders>
              <w:top w:val="single" w:color="auto" w:sz="12" w:space="0"/>
              <w:bottom w:val="single" w:color="auto" w:sz="12" w:space="0"/>
              <w:right w:val="single" w:color="auto" w:sz="12" w:space="0"/>
            </w:tcBorders>
            <w:vAlign w:val="center"/>
          </w:tcPr>
          <w:p>
            <w:pPr>
              <w:rPr>
                <w:b/>
                <w:sz w:val="24"/>
                <w:szCs w:val="24"/>
              </w:rPr>
            </w:pPr>
            <w:bookmarkStart w:id="2" w:name="_Toc417390699"/>
            <w:r>
              <w:rPr>
                <w:rFonts w:hint="eastAsia" w:ascii="宋体" w:hAnsi="宋体"/>
                <w:b/>
                <w:sz w:val="24"/>
                <w:szCs w:val="24"/>
              </w:rPr>
              <w:t>1</w:t>
            </w:r>
            <w:r>
              <w:rPr>
                <w:b/>
                <w:sz w:val="24"/>
                <w:szCs w:val="24"/>
              </w:rPr>
              <w:t>.</w:t>
            </w:r>
            <w:r>
              <w:rPr>
                <w:rFonts w:hAnsi="宋体"/>
                <w:b/>
                <w:sz w:val="24"/>
                <w:szCs w:val="24"/>
              </w:rPr>
              <w:t>施工期</w:t>
            </w:r>
            <w:bookmarkEnd w:id="2"/>
          </w:p>
          <w:p>
            <w:pPr>
              <w:spacing w:line="360" w:lineRule="auto"/>
              <w:ind w:firstLine="480" w:firstLineChars="200"/>
              <w:rPr>
                <w:sz w:val="24"/>
              </w:rPr>
            </w:pPr>
            <w:bookmarkStart w:id="3" w:name="_Toc417390700"/>
            <w:r>
              <w:rPr>
                <w:rFonts w:hint="eastAsia"/>
                <w:sz w:val="24"/>
              </w:rPr>
              <w:t>输变电建设项目施工期的主要污染因子有：噪声、污废水、扬尘及生态影响等。</w:t>
            </w:r>
          </w:p>
          <w:p>
            <w:pPr>
              <w:rPr>
                <w:b/>
                <w:sz w:val="24"/>
                <w:szCs w:val="24"/>
              </w:rPr>
            </w:pPr>
            <w:r>
              <w:rPr>
                <w:b/>
                <w:sz w:val="24"/>
                <w:szCs w:val="24"/>
              </w:rPr>
              <w:t>2.</w:t>
            </w:r>
            <w:r>
              <w:rPr>
                <w:rFonts w:hAnsi="宋体"/>
                <w:b/>
                <w:sz w:val="24"/>
                <w:szCs w:val="24"/>
              </w:rPr>
              <w:t>运营期</w:t>
            </w:r>
            <w:bookmarkEnd w:id="3"/>
          </w:p>
          <w:p>
            <w:pPr>
              <w:spacing w:line="360" w:lineRule="auto"/>
              <w:ind w:firstLine="480" w:firstLineChars="200"/>
              <w:rPr>
                <w:rFonts w:hAnsi="宋体"/>
                <w:sz w:val="24"/>
                <w:szCs w:val="24"/>
              </w:rPr>
            </w:pPr>
            <w:r>
              <w:rPr>
                <w:rFonts w:hint="eastAsia"/>
                <w:sz w:val="24"/>
              </w:rPr>
              <w:t>输变电建设项目运行期的主要污染因子有：工频电场、工频磁场、生活污水、噪声及生活垃圾。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009" w:hRule="atLeast"/>
        </w:trPr>
        <w:tc>
          <w:tcPr>
            <w:tcW w:w="464" w:type="dxa"/>
            <w:tcBorders>
              <w:top w:val="single" w:color="auto" w:sz="12" w:space="0"/>
              <w:left w:val="single" w:color="auto" w:sz="12" w:space="0"/>
              <w:bottom w:val="single" w:color="auto" w:sz="12" w:space="0"/>
            </w:tcBorders>
            <w:vAlign w:val="center"/>
          </w:tcPr>
          <w:p>
            <w:pPr>
              <w:spacing w:line="400" w:lineRule="exact"/>
              <w:jc w:val="center"/>
              <w:rPr>
                <w:rFonts w:ascii="宋体" w:hAnsi="宋体" w:cs="宋体"/>
                <w:b/>
                <w:sz w:val="24"/>
                <w:szCs w:val="24"/>
              </w:rPr>
            </w:pPr>
            <w:r>
              <w:rPr>
                <w:rFonts w:hint="eastAsia" w:ascii="宋体" w:hAnsi="宋体" w:cs="宋体"/>
                <w:b/>
                <w:sz w:val="24"/>
                <w:szCs w:val="24"/>
              </w:rPr>
              <w:t>环境敏感目标</w:t>
            </w:r>
          </w:p>
        </w:tc>
        <w:tc>
          <w:tcPr>
            <w:tcW w:w="8467" w:type="dxa"/>
            <w:tcBorders>
              <w:top w:val="single" w:color="auto" w:sz="12" w:space="0"/>
              <w:bottom w:val="single" w:color="auto" w:sz="12" w:space="0"/>
              <w:right w:val="single" w:color="auto" w:sz="12" w:space="0"/>
            </w:tcBorders>
          </w:tcPr>
          <w:p>
            <w:pPr>
              <w:spacing w:line="360" w:lineRule="auto"/>
              <w:ind w:firstLine="480" w:firstLineChars="200"/>
              <w:rPr>
                <w:sz w:val="24"/>
              </w:rPr>
            </w:pPr>
            <w:r>
              <w:rPr>
                <w:rFonts w:hint="eastAsia" w:hAnsi="宋体"/>
                <w:sz w:val="24"/>
                <w:szCs w:val="24"/>
              </w:rPr>
              <w:t>验收阶段通过验收调查单位的现场勘测与调查，本工程龙安</w:t>
            </w:r>
            <w:r>
              <w:rPr>
                <w:sz w:val="24"/>
                <w:szCs w:val="24"/>
              </w:rPr>
              <w:t>110kV</w:t>
            </w:r>
            <w:r>
              <w:rPr>
                <w:rFonts w:hint="eastAsia" w:hAnsi="宋体"/>
                <w:sz w:val="24"/>
                <w:szCs w:val="24"/>
              </w:rPr>
              <w:t>变电站在验收范围内</w:t>
            </w:r>
            <w:r>
              <w:rPr>
                <w:rFonts w:hint="eastAsia"/>
                <w:sz w:val="24"/>
                <w:szCs w:val="24"/>
              </w:rPr>
              <w:t>有2处敏感点分布</w:t>
            </w:r>
            <w:r>
              <w:rPr>
                <w:sz w:val="24"/>
              </w:rPr>
              <w:t>。</w:t>
            </w:r>
          </w:p>
          <w:p>
            <w:pPr>
              <w:tabs>
                <w:tab w:val="left" w:pos="3240"/>
              </w:tabs>
              <w:spacing w:line="360" w:lineRule="auto"/>
              <w:ind w:firstLine="480" w:firstLineChars="200"/>
              <w:textAlignment w:val="baseline"/>
              <w:rPr>
                <w:sz w:val="24"/>
              </w:rPr>
            </w:pPr>
            <w:r>
              <w:rPr>
                <w:rFonts w:hint="eastAsia" w:hAnsi="宋体"/>
                <w:sz w:val="24"/>
                <w:szCs w:val="24"/>
              </w:rPr>
              <w:t>环评阶段与验收阶段本项目确认的</w:t>
            </w:r>
            <w:r>
              <w:rPr>
                <w:sz w:val="24"/>
              </w:rPr>
              <w:t>环境保护目标</w:t>
            </w:r>
            <w:r>
              <w:rPr>
                <w:rFonts w:hint="eastAsia"/>
                <w:sz w:val="24"/>
              </w:rPr>
              <w:t>比较</w:t>
            </w:r>
            <w:r>
              <w:rPr>
                <w:sz w:val="24"/>
              </w:rPr>
              <w:t>见表2-</w:t>
            </w:r>
            <w:r>
              <w:rPr>
                <w:rFonts w:hint="eastAsia"/>
                <w:sz w:val="24"/>
              </w:rPr>
              <w:t>1</w:t>
            </w:r>
            <w:r>
              <w:rPr>
                <w:sz w:val="24"/>
              </w:rPr>
              <w:t>。</w:t>
            </w:r>
          </w:p>
          <w:p>
            <w:pPr>
              <w:tabs>
                <w:tab w:val="left" w:pos="3240"/>
              </w:tabs>
              <w:spacing w:line="360" w:lineRule="auto"/>
              <w:ind w:firstLine="480" w:firstLineChars="200"/>
              <w:jc w:val="center"/>
              <w:textAlignment w:val="baseline"/>
              <w:rPr>
                <w:sz w:val="24"/>
              </w:rPr>
            </w:pPr>
            <w:r>
              <w:rPr>
                <w:sz w:val="24"/>
              </w:rPr>
              <w:t>2-</w:t>
            </w:r>
            <w:r>
              <w:rPr>
                <w:rFonts w:hint="eastAsia"/>
                <w:sz w:val="24"/>
              </w:rPr>
              <w:t>1环评阶段验收阶段</w:t>
            </w:r>
            <w:r>
              <w:rPr>
                <w:sz w:val="24"/>
              </w:rPr>
              <w:t>主要环境保护目标一览表</w:t>
            </w:r>
          </w:p>
          <w:tbl>
            <w:tblPr>
              <w:tblStyle w:val="17"/>
              <w:tblW w:w="10537"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88"/>
              <w:gridCol w:w="425"/>
              <w:gridCol w:w="1560"/>
              <w:gridCol w:w="1417"/>
              <w:gridCol w:w="1559"/>
              <w:gridCol w:w="1471"/>
              <w:gridCol w:w="311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707" w:hRule="atLeast"/>
              </w:trPr>
              <w:tc>
                <w:tcPr>
                  <w:tcW w:w="988" w:type="dxa"/>
                  <w:vMerge w:val="restart"/>
                  <w:vAlign w:val="center"/>
                </w:tcPr>
                <w:p>
                  <w:pPr>
                    <w:jc w:val="center"/>
                    <w:rPr>
                      <w:bCs/>
                      <w:szCs w:val="21"/>
                    </w:rPr>
                  </w:pPr>
                  <w:r>
                    <w:rPr>
                      <w:rFonts w:hint="eastAsia"/>
                      <w:bCs/>
                      <w:szCs w:val="21"/>
                    </w:rPr>
                    <w:t>项目</w:t>
                  </w:r>
                </w:p>
              </w:tc>
              <w:tc>
                <w:tcPr>
                  <w:tcW w:w="425" w:type="dxa"/>
                  <w:vMerge w:val="restart"/>
                  <w:vAlign w:val="center"/>
                </w:tcPr>
                <w:p>
                  <w:pPr>
                    <w:jc w:val="center"/>
                    <w:rPr>
                      <w:szCs w:val="21"/>
                    </w:rPr>
                  </w:pPr>
                  <w:r>
                    <w:rPr>
                      <w:rFonts w:hint="eastAsia"/>
                      <w:szCs w:val="21"/>
                    </w:rPr>
                    <w:t>序</w:t>
                  </w:r>
                </w:p>
                <w:p>
                  <w:pPr>
                    <w:jc w:val="center"/>
                    <w:rPr>
                      <w:bCs/>
                      <w:szCs w:val="21"/>
                    </w:rPr>
                  </w:pPr>
                  <w:r>
                    <w:rPr>
                      <w:rFonts w:hint="eastAsia"/>
                      <w:szCs w:val="21"/>
                    </w:rPr>
                    <w:t>号</w:t>
                  </w:r>
                </w:p>
              </w:tc>
              <w:tc>
                <w:tcPr>
                  <w:tcW w:w="2977" w:type="dxa"/>
                  <w:gridSpan w:val="2"/>
                  <w:vAlign w:val="center"/>
                </w:tcPr>
                <w:p>
                  <w:pPr>
                    <w:jc w:val="center"/>
                    <w:rPr>
                      <w:bCs/>
                      <w:szCs w:val="21"/>
                    </w:rPr>
                  </w:pPr>
                  <w:r>
                    <w:rPr>
                      <w:rFonts w:hint="eastAsia"/>
                      <w:bCs/>
                      <w:szCs w:val="21"/>
                    </w:rPr>
                    <w:t>环评</w:t>
                  </w:r>
                </w:p>
              </w:tc>
              <w:tc>
                <w:tcPr>
                  <w:tcW w:w="6147" w:type="dxa"/>
                  <w:gridSpan w:val="3"/>
                  <w:vAlign w:val="center"/>
                </w:tcPr>
                <w:p>
                  <w:pPr>
                    <w:ind w:firstLine="1365" w:firstLineChars="650"/>
                    <w:rPr>
                      <w:bCs/>
                      <w:szCs w:val="21"/>
                    </w:rPr>
                  </w:pPr>
                  <w:r>
                    <w:rPr>
                      <w:rFonts w:hint="eastAsia"/>
                      <w:bCs/>
                      <w:szCs w:val="21"/>
                    </w:rPr>
                    <w:t>验收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6" w:hRule="atLeast"/>
              </w:trPr>
              <w:tc>
                <w:tcPr>
                  <w:tcW w:w="988" w:type="dxa"/>
                  <w:vMerge w:val="continue"/>
                  <w:vAlign w:val="center"/>
                </w:tcPr>
                <w:p>
                  <w:pPr>
                    <w:jc w:val="center"/>
                  </w:pPr>
                </w:p>
              </w:tc>
              <w:tc>
                <w:tcPr>
                  <w:tcW w:w="425" w:type="dxa"/>
                  <w:vMerge w:val="continue"/>
                  <w:vAlign w:val="center"/>
                </w:tcPr>
                <w:p>
                  <w:pPr>
                    <w:jc w:val="center"/>
                    <w:rPr>
                      <w:szCs w:val="21"/>
                    </w:rPr>
                  </w:pPr>
                </w:p>
              </w:tc>
              <w:tc>
                <w:tcPr>
                  <w:tcW w:w="1560" w:type="dxa"/>
                  <w:vAlign w:val="center"/>
                </w:tcPr>
                <w:p>
                  <w:pPr>
                    <w:jc w:val="center"/>
                    <w:rPr>
                      <w:bCs/>
                      <w:szCs w:val="21"/>
                    </w:rPr>
                  </w:pPr>
                  <w:r>
                    <w:rPr>
                      <w:bCs/>
                      <w:szCs w:val="21"/>
                    </w:rPr>
                    <w:t>保护目标</w:t>
                  </w:r>
                </w:p>
              </w:tc>
              <w:tc>
                <w:tcPr>
                  <w:tcW w:w="1417" w:type="dxa"/>
                  <w:vAlign w:val="center"/>
                </w:tcPr>
                <w:p>
                  <w:pPr>
                    <w:jc w:val="center"/>
                    <w:rPr>
                      <w:bCs/>
                      <w:szCs w:val="21"/>
                    </w:rPr>
                  </w:pPr>
                  <w:r>
                    <w:rPr>
                      <w:bCs/>
                      <w:szCs w:val="21"/>
                    </w:rPr>
                    <w:t>位置</w:t>
                  </w:r>
                </w:p>
                <w:p>
                  <w:pPr>
                    <w:jc w:val="center"/>
                    <w:rPr>
                      <w:bCs/>
                      <w:szCs w:val="21"/>
                    </w:rPr>
                  </w:pPr>
                  <w:r>
                    <w:rPr>
                      <w:bCs/>
                      <w:szCs w:val="21"/>
                    </w:rPr>
                    <w:t>及距离</w:t>
                  </w:r>
                </w:p>
              </w:tc>
              <w:tc>
                <w:tcPr>
                  <w:tcW w:w="1559" w:type="dxa"/>
                  <w:vAlign w:val="center"/>
                </w:tcPr>
                <w:p>
                  <w:pPr>
                    <w:jc w:val="center"/>
                    <w:rPr>
                      <w:bCs/>
                      <w:szCs w:val="21"/>
                    </w:rPr>
                  </w:pPr>
                  <w:r>
                    <w:rPr>
                      <w:bCs/>
                      <w:szCs w:val="21"/>
                    </w:rPr>
                    <w:t>保护目标</w:t>
                  </w:r>
                </w:p>
              </w:tc>
              <w:tc>
                <w:tcPr>
                  <w:tcW w:w="1471" w:type="dxa"/>
                  <w:vAlign w:val="center"/>
                </w:tcPr>
                <w:p>
                  <w:pPr>
                    <w:jc w:val="center"/>
                    <w:rPr>
                      <w:bCs/>
                      <w:szCs w:val="21"/>
                    </w:rPr>
                  </w:pPr>
                  <w:r>
                    <w:rPr>
                      <w:bCs/>
                      <w:szCs w:val="21"/>
                    </w:rPr>
                    <w:t xml:space="preserve">位置 </w:t>
                  </w:r>
                </w:p>
                <w:p>
                  <w:pPr>
                    <w:jc w:val="center"/>
                    <w:rPr>
                      <w:bCs/>
                      <w:szCs w:val="21"/>
                    </w:rPr>
                  </w:pPr>
                  <w:r>
                    <w:rPr>
                      <w:bCs/>
                      <w:szCs w:val="21"/>
                    </w:rPr>
                    <w:t>及距离</w:t>
                  </w:r>
                </w:p>
              </w:tc>
              <w:tc>
                <w:tcPr>
                  <w:tcW w:w="3117" w:type="dxa"/>
                  <w:vAlign w:val="center"/>
                </w:tcPr>
                <w:p>
                  <w:pPr>
                    <w:rPr>
                      <w:bCs/>
                      <w:szCs w:val="21"/>
                    </w:rPr>
                  </w:pPr>
                  <w:r>
                    <w:rPr>
                      <w:bCs/>
                      <w:szCs w:val="21"/>
                    </w:rPr>
                    <w:t>环境影</w:t>
                  </w:r>
                </w:p>
                <w:p>
                  <w:pPr>
                    <w:rPr>
                      <w:bCs/>
                      <w:szCs w:val="21"/>
                    </w:rPr>
                  </w:pPr>
                  <w:r>
                    <w:rPr>
                      <w:bCs/>
                      <w:szCs w:val="21"/>
                    </w:rPr>
                    <w:t>响因素</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6" w:hRule="atLeast"/>
              </w:trPr>
              <w:tc>
                <w:tcPr>
                  <w:tcW w:w="988" w:type="dxa"/>
                  <w:vMerge w:val="restart"/>
                  <w:vAlign w:val="center"/>
                </w:tcPr>
                <w:p>
                  <w:pPr>
                    <w:jc w:val="center"/>
                  </w:pPr>
                  <w:r>
                    <w:rPr>
                      <w:rFonts w:hint="eastAsia"/>
                    </w:rPr>
                    <w:t>龙安110kV变电站</w:t>
                  </w:r>
                </w:p>
              </w:tc>
              <w:tc>
                <w:tcPr>
                  <w:tcW w:w="425" w:type="dxa"/>
                  <w:vAlign w:val="center"/>
                </w:tcPr>
                <w:p>
                  <w:pPr>
                    <w:jc w:val="center"/>
                    <w:rPr>
                      <w:szCs w:val="21"/>
                    </w:rPr>
                  </w:pPr>
                  <w:r>
                    <w:rPr>
                      <w:rFonts w:hint="eastAsia"/>
                      <w:szCs w:val="21"/>
                    </w:rPr>
                    <w:t>1</w:t>
                  </w:r>
                </w:p>
              </w:tc>
              <w:tc>
                <w:tcPr>
                  <w:tcW w:w="1560" w:type="dxa"/>
                  <w:vAlign w:val="center"/>
                </w:tcPr>
                <w:p>
                  <w:pPr>
                    <w:jc w:val="center"/>
                    <w:rPr>
                      <w:bCs/>
                      <w:szCs w:val="21"/>
                    </w:rPr>
                  </w:pPr>
                  <w:r>
                    <w:rPr>
                      <w:rFonts w:hint="eastAsia"/>
                      <w:bCs/>
                      <w:szCs w:val="21"/>
                    </w:rPr>
                    <w:t>平武县良种场工人住房</w:t>
                  </w:r>
                  <w:r>
                    <w:rPr>
                      <w:bCs/>
                      <w:szCs w:val="21"/>
                    </w:rPr>
                    <w:t>（</w:t>
                  </w:r>
                  <w:r>
                    <w:rPr>
                      <w:rFonts w:hint="eastAsia"/>
                      <w:bCs/>
                      <w:szCs w:val="21"/>
                    </w:rPr>
                    <w:t>1栋，1层尖顶建筑，高约4m</w:t>
                  </w:r>
                  <w:r>
                    <w:rPr>
                      <w:bCs/>
                      <w:szCs w:val="21"/>
                    </w:rPr>
                    <w:t>）</w:t>
                  </w:r>
                </w:p>
              </w:tc>
              <w:tc>
                <w:tcPr>
                  <w:tcW w:w="1417" w:type="dxa"/>
                  <w:vAlign w:val="center"/>
                </w:tcPr>
                <w:p>
                  <w:pPr>
                    <w:jc w:val="center"/>
                    <w:rPr>
                      <w:bCs/>
                      <w:szCs w:val="21"/>
                    </w:rPr>
                  </w:pPr>
                  <w:r>
                    <w:rPr>
                      <w:bCs/>
                      <w:szCs w:val="21"/>
                    </w:rPr>
                    <w:t>变电站</w:t>
                  </w:r>
                  <w:r>
                    <w:rPr>
                      <w:rFonts w:hint="eastAsia"/>
                      <w:bCs/>
                      <w:szCs w:val="21"/>
                    </w:rPr>
                    <w:t>南</w:t>
                  </w:r>
                  <w:r>
                    <w:rPr>
                      <w:bCs/>
                      <w:szCs w:val="21"/>
                    </w:rPr>
                    <w:t>侧距离站界</w:t>
                  </w:r>
                  <w:r>
                    <w:rPr>
                      <w:rFonts w:hint="eastAsia"/>
                      <w:bCs/>
                      <w:szCs w:val="21"/>
                    </w:rPr>
                    <w:t>约5</w:t>
                  </w:r>
                  <w:r>
                    <w:rPr>
                      <w:bCs/>
                      <w:szCs w:val="21"/>
                    </w:rPr>
                    <w:t>m。</w:t>
                  </w:r>
                </w:p>
              </w:tc>
              <w:tc>
                <w:tcPr>
                  <w:tcW w:w="1559" w:type="dxa"/>
                  <w:vAlign w:val="center"/>
                </w:tcPr>
                <w:p>
                  <w:pPr>
                    <w:jc w:val="center"/>
                    <w:rPr>
                      <w:bCs/>
                      <w:szCs w:val="21"/>
                    </w:rPr>
                  </w:pPr>
                  <w:r>
                    <w:rPr>
                      <w:rFonts w:hint="eastAsia"/>
                      <w:bCs/>
                      <w:szCs w:val="21"/>
                    </w:rPr>
                    <w:t>平武县良种场工人住房齐明义</w:t>
                  </w:r>
                  <w:r>
                    <w:rPr>
                      <w:bCs/>
                      <w:szCs w:val="21"/>
                    </w:rPr>
                    <w:t>（</w:t>
                  </w:r>
                  <w:r>
                    <w:rPr>
                      <w:rFonts w:hint="eastAsia"/>
                      <w:bCs/>
                      <w:szCs w:val="21"/>
                    </w:rPr>
                    <w:t>1栋，1层尖顶建筑，高约4m</w:t>
                  </w:r>
                  <w:r>
                    <w:rPr>
                      <w:bCs/>
                      <w:szCs w:val="21"/>
                    </w:rPr>
                    <w:t>）</w:t>
                  </w:r>
                  <w:r>
                    <w:rPr>
                      <w:rFonts w:hint="eastAsia"/>
                      <w:szCs w:val="21"/>
                    </w:rPr>
                    <w:t>★</w:t>
                  </w:r>
                </w:p>
              </w:tc>
              <w:tc>
                <w:tcPr>
                  <w:tcW w:w="1471" w:type="dxa"/>
                  <w:vAlign w:val="center"/>
                </w:tcPr>
                <w:p>
                  <w:pPr>
                    <w:jc w:val="center"/>
                    <w:rPr>
                      <w:bCs/>
                      <w:szCs w:val="21"/>
                    </w:rPr>
                  </w:pPr>
                  <w:r>
                    <w:rPr>
                      <w:bCs/>
                      <w:szCs w:val="21"/>
                    </w:rPr>
                    <w:t>变电站</w:t>
                  </w:r>
                  <w:r>
                    <w:rPr>
                      <w:rFonts w:hint="eastAsia"/>
                      <w:bCs/>
                      <w:szCs w:val="21"/>
                    </w:rPr>
                    <w:t>南</w:t>
                  </w:r>
                  <w:r>
                    <w:rPr>
                      <w:bCs/>
                      <w:szCs w:val="21"/>
                    </w:rPr>
                    <w:t>侧距离站界</w:t>
                  </w:r>
                  <w:r>
                    <w:rPr>
                      <w:rFonts w:hint="eastAsia"/>
                      <w:bCs/>
                      <w:szCs w:val="21"/>
                    </w:rPr>
                    <w:t>约5</w:t>
                  </w:r>
                  <w:r>
                    <w:rPr>
                      <w:bCs/>
                      <w:szCs w:val="21"/>
                    </w:rPr>
                    <w:t>m。</w:t>
                  </w:r>
                </w:p>
              </w:tc>
              <w:tc>
                <w:tcPr>
                  <w:tcW w:w="3117" w:type="dxa"/>
                  <w:vAlign w:val="center"/>
                </w:tcPr>
                <w:p>
                  <w:pPr>
                    <w:ind w:firstLine="105" w:firstLineChars="50"/>
                    <w:rPr>
                      <w:szCs w:val="21"/>
                    </w:rPr>
                  </w:pPr>
                  <w:r>
                    <w:rPr>
                      <w:szCs w:val="21"/>
                    </w:rPr>
                    <w:t>E/H/N</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249" w:hRule="atLeast"/>
              </w:trPr>
              <w:tc>
                <w:tcPr>
                  <w:tcW w:w="988" w:type="dxa"/>
                  <w:vMerge w:val="continue"/>
                  <w:tcBorders>
                    <w:bottom w:val="single" w:color="auto" w:sz="12" w:space="0"/>
                  </w:tcBorders>
                  <w:vAlign w:val="center"/>
                </w:tcPr>
                <w:p>
                  <w:pPr>
                    <w:jc w:val="center"/>
                  </w:pPr>
                </w:p>
              </w:tc>
              <w:tc>
                <w:tcPr>
                  <w:tcW w:w="425" w:type="dxa"/>
                  <w:vAlign w:val="center"/>
                </w:tcPr>
                <w:p>
                  <w:pPr>
                    <w:jc w:val="center"/>
                    <w:rPr>
                      <w:szCs w:val="21"/>
                    </w:rPr>
                  </w:pPr>
                  <w:r>
                    <w:rPr>
                      <w:rFonts w:hint="eastAsia"/>
                      <w:szCs w:val="21"/>
                    </w:rPr>
                    <w:t>2</w:t>
                  </w:r>
                </w:p>
              </w:tc>
              <w:tc>
                <w:tcPr>
                  <w:tcW w:w="1560" w:type="dxa"/>
                  <w:tcBorders>
                    <w:tl2br w:val="single" w:color="auto" w:sz="4" w:space="0"/>
                  </w:tcBorders>
                  <w:vAlign w:val="center"/>
                </w:tcPr>
                <w:p>
                  <w:pPr>
                    <w:jc w:val="center"/>
                    <w:rPr>
                      <w:bCs/>
                      <w:szCs w:val="21"/>
                    </w:rPr>
                  </w:pPr>
                </w:p>
              </w:tc>
              <w:tc>
                <w:tcPr>
                  <w:tcW w:w="1417" w:type="dxa"/>
                  <w:tcBorders>
                    <w:tl2br w:val="single" w:color="auto" w:sz="4" w:space="0"/>
                  </w:tcBorders>
                  <w:vAlign w:val="center"/>
                </w:tcPr>
                <w:p>
                  <w:pPr>
                    <w:jc w:val="center"/>
                    <w:rPr>
                      <w:bCs/>
                      <w:szCs w:val="21"/>
                    </w:rPr>
                  </w:pPr>
                </w:p>
              </w:tc>
              <w:tc>
                <w:tcPr>
                  <w:tcW w:w="1559" w:type="dxa"/>
                  <w:vAlign w:val="center"/>
                </w:tcPr>
                <w:p>
                  <w:pPr>
                    <w:jc w:val="center"/>
                    <w:rPr>
                      <w:bCs/>
                      <w:szCs w:val="21"/>
                    </w:rPr>
                  </w:pPr>
                  <w:r>
                    <w:rPr>
                      <w:rFonts w:hint="eastAsia"/>
                      <w:bCs/>
                      <w:szCs w:val="21"/>
                    </w:rPr>
                    <w:t>农业局种植站</w:t>
                  </w:r>
                  <w:r>
                    <w:rPr>
                      <w:bCs/>
                      <w:szCs w:val="21"/>
                    </w:rPr>
                    <w:t>（</w:t>
                  </w:r>
                  <w:r>
                    <w:rPr>
                      <w:rFonts w:hint="eastAsia"/>
                      <w:bCs/>
                      <w:szCs w:val="21"/>
                    </w:rPr>
                    <w:t>3</w:t>
                  </w:r>
                  <w:r>
                    <w:rPr>
                      <w:bCs/>
                      <w:szCs w:val="21"/>
                    </w:rPr>
                    <w:t>层</w:t>
                  </w:r>
                  <w:r>
                    <w:rPr>
                      <w:rFonts w:hint="eastAsia"/>
                      <w:bCs/>
                      <w:szCs w:val="21"/>
                    </w:rPr>
                    <w:t>办公楼</w:t>
                  </w:r>
                  <w:r>
                    <w:rPr>
                      <w:bCs/>
                      <w:szCs w:val="21"/>
                    </w:rPr>
                    <w:t>，</w:t>
                  </w:r>
                  <w:r>
                    <w:rPr>
                      <w:rFonts w:hint="eastAsia"/>
                      <w:bCs/>
                      <w:szCs w:val="21"/>
                    </w:rPr>
                    <w:t>平</w:t>
                  </w:r>
                  <w:r>
                    <w:rPr>
                      <w:bCs/>
                      <w:szCs w:val="21"/>
                    </w:rPr>
                    <w:t>顶，高</w:t>
                  </w:r>
                  <w:r>
                    <w:rPr>
                      <w:rFonts w:hint="eastAsia"/>
                      <w:bCs/>
                      <w:szCs w:val="21"/>
                    </w:rPr>
                    <w:t>9</w:t>
                  </w:r>
                  <w:r>
                    <w:rPr>
                      <w:bCs/>
                      <w:szCs w:val="21"/>
                    </w:rPr>
                    <w:t>米）</w:t>
                  </w:r>
                  <w:r>
                    <w:rPr>
                      <w:rFonts w:hint="eastAsia"/>
                      <w:szCs w:val="21"/>
                    </w:rPr>
                    <w:t>★</w:t>
                  </w:r>
                </w:p>
              </w:tc>
              <w:tc>
                <w:tcPr>
                  <w:tcW w:w="1471" w:type="dxa"/>
                  <w:vAlign w:val="center"/>
                </w:tcPr>
                <w:p>
                  <w:pPr>
                    <w:jc w:val="center"/>
                    <w:rPr>
                      <w:bCs/>
                      <w:szCs w:val="21"/>
                    </w:rPr>
                  </w:pPr>
                  <w:r>
                    <w:rPr>
                      <w:bCs/>
                      <w:szCs w:val="21"/>
                    </w:rPr>
                    <w:t>变电站</w:t>
                  </w:r>
                  <w:r>
                    <w:rPr>
                      <w:rFonts w:hint="eastAsia"/>
                      <w:bCs/>
                      <w:szCs w:val="21"/>
                    </w:rPr>
                    <w:t>东</w:t>
                  </w:r>
                  <w:r>
                    <w:rPr>
                      <w:bCs/>
                      <w:szCs w:val="21"/>
                    </w:rPr>
                    <w:t>侧距离站界</w:t>
                  </w:r>
                  <w:r>
                    <w:rPr>
                      <w:rFonts w:hint="eastAsia"/>
                      <w:bCs/>
                      <w:szCs w:val="21"/>
                    </w:rPr>
                    <w:t>约35</w:t>
                  </w:r>
                  <w:r>
                    <w:rPr>
                      <w:bCs/>
                      <w:szCs w:val="21"/>
                    </w:rPr>
                    <w:t>m。</w:t>
                  </w:r>
                </w:p>
              </w:tc>
              <w:tc>
                <w:tcPr>
                  <w:tcW w:w="3117" w:type="dxa"/>
                  <w:vAlign w:val="center"/>
                </w:tcPr>
                <w:p>
                  <w:pPr>
                    <w:ind w:firstLine="315" w:firstLineChars="150"/>
                    <w:rPr>
                      <w:szCs w:val="21"/>
                    </w:rPr>
                  </w:pPr>
                  <w:r>
                    <w:rPr>
                      <w:szCs w:val="21"/>
                    </w:rPr>
                    <w:t>N</w:t>
                  </w:r>
                </w:p>
              </w:tc>
            </w:tr>
          </w:tbl>
          <w:p>
            <w:pPr>
              <w:spacing w:line="360" w:lineRule="auto"/>
              <w:rPr>
                <w:szCs w:val="21"/>
              </w:rPr>
            </w:pPr>
            <w:r>
              <w:rPr>
                <w:szCs w:val="21"/>
              </w:rPr>
              <w:t>注：★－该敏感点被作为验收监测点</w:t>
            </w:r>
            <w:r>
              <w:rPr>
                <w:rFonts w:hint="eastAsia"/>
                <w:szCs w:val="21"/>
              </w:rPr>
              <w:t>；</w:t>
            </w:r>
            <w:r>
              <w:rPr>
                <w:szCs w:val="21"/>
              </w:rPr>
              <w:t>E</w:t>
            </w:r>
            <w:r>
              <w:rPr>
                <w:rFonts w:hint="eastAsia"/>
                <w:szCs w:val="21"/>
              </w:rPr>
              <w:t>－</w:t>
            </w:r>
            <w:r>
              <w:rPr>
                <w:szCs w:val="21"/>
              </w:rPr>
              <w:t>工频电场、</w:t>
            </w:r>
            <w:r>
              <w:rPr>
                <w:rFonts w:hint="eastAsia"/>
                <w:szCs w:val="21"/>
              </w:rPr>
              <w:t>H－</w:t>
            </w:r>
            <w:r>
              <w:rPr>
                <w:szCs w:val="21"/>
              </w:rPr>
              <w:t>工频磁</w:t>
            </w:r>
            <w:r>
              <w:rPr>
                <w:rFonts w:hint="eastAsia"/>
                <w:szCs w:val="21"/>
              </w:rPr>
              <w:t>感应、N－噪声。</w:t>
            </w:r>
          </w:p>
          <w:p>
            <w:pPr>
              <w:spacing w:line="360" w:lineRule="auto"/>
              <w:ind w:firstLine="480" w:firstLineChars="200"/>
              <w:rPr>
                <w:rFonts w:hAnsi="宋体"/>
                <w:sz w:val="24"/>
                <w:szCs w:val="24"/>
              </w:rPr>
            </w:pPr>
            <w:r>
              <w:rPr>
                <w:rFonts w:hint="eastAsia" w:hAnsi="宋体"/>
                <w:sz w:val="24"/>
                <w:szCs w:val="24"/>
              </w:rPr>
              <w:t>通过上表可以看出，环评阶段110kV龙安变电站站界外1</w:t>
            </w:r>
            <w:r>
              <w:rPr>
                <w:rFonts w:hint="eastAsia" w:hAnsi="宋体"/>
                <w:sz w:val="24"/>
                <w:szCs w:val="24"/>
                <w:vertAlign w:val="superscript"/>
              </w:rPr>
              <w:t>#</w:t>
            </w:r>
            <w:r>
              <w:rPr>
                <w:rFonts w:hint="eastAsia" w:hAnsi="宋体"/>
                <w:sz w:val="24"/>
                <w:szCs w:val="24"/>
              </w:rPr>
              <w:t>敏感目标，位于工频电磁场、噪声验收调查范围以内；验收阶段新增加1处敏感目标，即上表2-1中2</w:t>
            </w:r>
            <w:r>
              <w:rPr>
                <w:rFonts w:hint="eastAsia" w:hAnsi="宋体"/>
                <w:sz w:val="24"/>
                <w:szCs w:val="24"/>
                <w:vertAlign w:val="superscript"/>
              </w:rPr>
              <w:t>#</w:t>
            </w:r>
            <w:r>
              <w:rPr>
                <w:rFonts w:hint="eastAsia" w:hAnsi="宋体"/>
                <w:sz w:val="24"/>
                <w:szCs w:val="24"/>
              </w:rPr>
              <w:t>敏感目标，位于工频电磁场验收调查范围以外、噪声验收调查范围以内。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42" w:hRule="atLeast"/>
        </w:trPr>
        <w:tc>
          <w:tcPr>
            <w:tcW w:w="464" w:type="dxa"/>
            <w:tcBorders>
              <w:top w:val="single" w:color="auto" w:sz="12" w:space="0"/>
              <w:left w:val="single" w:color="auto" w:sz="12" w:space="0"/>
              <w:bottom w:val="single" w:color="auto" w:sz="12" w:space="0"/>
            </w:tcBorders>
            <w:vAlign w:val="center"/>
          </w:tcPr>
          <w:p>
            <w:pPr>
              <w:spacing w:line="400" w:lineRule="exact"/>
              <w:jc w:val="center"/>
              <w:rPr>
                <w:rFonts w:ascii="宋体" w:hAnsi="宋体" w:cs="宋体"/>
                <w:b/>
                <w:sz w:val="24"/>
                <w:szCs w:val="24"/>
              </w:rPr>
            </w:pPr>
            <w:r>
              <w:rPr>
                <w:rFonts w:hint="eastAsia" w:ascii="宋体" w:hAnsi="宋体" w:cs="宋体"/>
                <w:b/>
                <w:sz w:val="24"/>
                <w:szCs w:val="24"/>
              </w:rPr>
              <w:t>调</w:t>
            </w:r>
          </w:p>
          <w:p>
            <w:pPr>
              <w:spacing w:line="400" w:lineRule="exact"/>
              <w:jc w:val="center"/>
              <w:rPr>
                <w:rFonts w:ascii="宋体" w:hAnsi="宋体" w:cs="宋体"/>
                <w:b/>
                <w:sz w:val="24"/>
                <w:szCs w:val="24"/>
              </w:rPr>
            </w:pPr>
            <w:r>
              <w:rPr>
                <w:rFonts w:hint="eastAsia" w:ascii="宋体" w:hAnsi="宋体" w:cs="宋体"/>
                <w:b/>
                <w:sz w:val="24"/>
                <w:szCs w:val="24"/>
              </w:rPr>
              <w:t>查</w:t>
            </w:r>
          </w:p>
          <w:p>
            <w:pPr>
              <w:spacing w:line="400" w:lineRule="exact"/>
              <w:jc w:val="center"/>
              <w:rPr>
                <w:rFonts w:ascii="宋体" w:hAnsi="宋体" w:cs="宋体"/>
                <w:b/>
                <w:sz w:val="24"/>
                <w:szCs w:val="24"/>
              </w:rPr>
            </w:pPr>
            <w:r>
              <w:rPr>
                <w:rFonts w:hint="eastAsia" w:ascii="宋体" w:hAnsi="宋体" w:cs="宋体"/>
                <w:b/>
                <w:sz w:val="24"/>
                <w:szCs w:val="24"/>
              </w:rPr>
              <w:t>重</w:t>
            </w:r>
          </w:p>
          <w:p>
            <w:pPr>
              <w:spacing w:line="400" w:lineRule="exact"/>
              <w:jc w:val="center"/>
              <w:rPr>
                <w:rFonts w:ascii="宋体" w:hAnsi="宋体" w:cs="宋体"/>
                <w:b/>
                <w:sz w:val="24"/>
                <w:szCs w:val="24"/>
              </w:rPr>
            </w:pPr>
            <w:r>
              <w:rPr>
                <w:rFonts w:hint="eastAsia" w:ascii="宋体" w:hAnsi="宋体" w:cs="宋体"/>
                <w:b/>
                <w:sz w:val="24"/>
                <w:szCs w:val="24"/>
              </w:rPr>
              <w:t>点</w:t>
            </w:r>
          </w:p>
        </w:tc>
        <w:tc>
          <w:tcPr>
            <w:tcW w:w="8467" w:type="dxa"/>
            <w:tcBorders>
              <w:top w:val="single" w:color="auto" w:sz="12" w:space="0"/>
              <w:bottom w:val="single" w:color="auto" w:sz="12" w:space="0"/>
              <w:right w:val="single" w:color="auto" w:sz="12" w:space="0"/>
            </w:tcBorders>
          </w:tcPr>
          <w:p>
            <w:pPr>
              <w:spacing w:line="360" w:lineRule="auto"/>
              <w:ind w:firstLine="480" w:firstLineChars="200"/>
              <w:rPr>
                <w:sz w:val="24"/>
              </w:rPr>
            </w:pPr>
            <w:r>
              <w:rPr>
                <w:rFonts w:hint="eastAsia"/>
                <w:sz w:val="24"/>
              </w:rPr>
              <w:t>（</w:t>
            </w:r>
            <w:r>
              <w:rPr>
                <w:sz w:val="24"/>
              </w:rPr>
              <w:t>1</w:t>
            </w:r>
            <w:r>
              <w:rPr>
                <w:rFonts w:hint="eastAsia"/>
                <w:sz w:val="24"/>
              </w:rPr>
              <w:t>）主要对变电站站界及周围典型敏感点的工频电磁场和噪声现状进行监测。</w:t>
            </w:r>
          </w:p>
          <w:p>
            <w:pPr>
              <w:spacing w:line="360" w:lineRule="auto"/>
              <w:ind w:firstLine="480" w:firstLineChars="200"/>
              <w:rPr>
                <w:sz w:val="24"/>
              </w:rPr>
            </w:pPr>
            <w:r>
              <w:rPr>
                <w:rFonts w:hint="eastAsia"/>
                <w:sz w:val="24"/>
              </w:rPr>
              <w:t>（</w:t>
            </w:r>
            <w:r>
              <w:rPr>
                <w:sz w:val="24"/>
              </w:rPr>
              <w:t>2</w:t>
            </w:r>
            <w:r>
              <w:rPr>
                <w:rFonts w:hint="eastAsia"/>
                <w:sz w:val="24"/>
              </w:rPr>
              <w:t>）工程生态环境影响调查。</w:t>
            </w:r>
          </w:p>
          <w:p>
            <w:pPr>
              <w:spacing w:line="360" w:lineRule="auto"/>
              <w:ind w:firstLine="480" w:firstLineChars="200"/>
              <w:rPr>
                <w:sz w:val="24"/>
              </w:rPr>
            </w:pPr>
            <w:r>
              <w:rPr>
                <w:rFonts w:hint="eastAsia"/>
                <w:sz w:val="24"/>
              </w:rPr>
              <w:t>（</w:t>
            </w:r>
            <w:r>
              <w:rPr>
                <w:sz w:val="24"/>
              </w:rPr>
              <w:t>3</w:t>
            </w:r>
            <w:r>
              <w:rPr>
                <w:rFonts w:hint="eastAsia"/>
                <w:sz w:val="24"/>
              </w:rPr>
              <w:t>）环境风险防范及应急措施调查。</w:t>
            </w:r>
          </w:p>
          <w:p>
            <w:pPr>
              <w:spacing w:line="360" w:lineRule="auto"/>
              <w:ind w:firstLine="480" w:firstLineChars="200"/>
              <w:rPr>
                <w:rFonts w:hAnsi="宋体"/>
                <w:sz w:val="24"/>
                <w:szCs w:val="24"/>
              </w:rPr>
            </w:pPr>
            <w:r>
              <w:rPr>
                <w:rFonts w:hint="eastAsia"/>
                <w:sz w:val="24"/>
              </w:rPr>
              <w:t>（</w:t>
            </w:r>
            <w:r>
              <w:rPr>
                <w:sz w:val="24"/>
              </w:rPr>
              <w:t>4</w:t>
            </w:r>
            <w:r>
              <w:rPr>
                <w:rFonts w:hint="eastAsia"/>
                <w:sz w:val="24"/>
              </w:rPr>
              <w:t>）施工期环境影响回顾性调查。</w:t>
            </w:r>
          </w:p>
        </w:tc>
      </w:tr>
    </w:tbl>
    <w:p>
      <w:pPr>
        <w:rPr>
          <w:b/>
          <w:sz w:val="32"/>
          <w:szCs w:val="32"/>
        </w:rPr>
        <w:sectPr>
          <w:pgSz w:w="11906" w:h="16838"/>
          <w:pgMar w:top="1440" w:right="1800" w:bottom="1440" w:left="1800" w:header="851" w:footer="992" w:gutter="0"/>
          <w:cols w:space="720" w:num="1"/>
          <w:docGrid w:type="lines" w:linePitch="312" w:charSpace="0"/>
        </w:sectPr>
      </w:pPr>
    </w:p>
    <w:p>
      <w:pPr>
        <w:pStyle w:val="2"/>
        <w:spacing w:before="0" w:after="0" w:line="360" w:lineRule="auto"/>
        <w:rPr>
          <w:rFonts w:ascii="宋体" w:hAnsi="宋体"/>
          <w:sz w:val="32"/>
          <w:szCs w:val="32"/>
        </w:rPr>
      </w:pPr>
      <w:bookmarkStart w:id="4" w:name="_Toc483476021"/>
      <w:r>
        <w:rPr>
          <w:rFonts w:hint="eastAsia" w:ascii="宋体" w:hAnsi="宋体"/>
          <w:sz w:val="32"/>
          <w:szCs w:val="32"/>
        </w:rPr>
        <w:t>表三 验收执行标准</w:t>
      </w:r>
      <w:bookmarkEnd w:id="4"/>
    </w:p>
    <w:tbl>
      <w:tblPr>
        <w:tblStyle w:val="17"/>
        <w:tblW w:w="928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8" w:hRule="atLeast"/>
        </w:trPr>
        <w:tc>
          <w:tcPr>
            <w:tcW w:w="824" w:type="dxa"/>
            <w:tcBorders>
              <w:top w:val="single" w:color="auto" w:sz="12" w:space="0"/>
              <w:left w:val="single" w:color="auto" w:sz="12" w:space="0"/>
              <w:bottom w:val="single" w:color="auto" w:sz="12" w:space="0"/>
            </w:tcBorders>
            <w:vAlign w:val="center"/>
          </w:tcPr>
          <w:p>
            <w:pPr>
              <w:spacing w:line="400" w:lineRule="exact"/>
              <w:jc w:val="center"/>
              <w:rPr>
                <w:rFonts w:ascii="宋体" w:hAnsi="宋体" w:cs="宋体"/>
                <w:b/>
                <w:sz w:val="24"/>
                <w:szCs w:val="24"/>
              </w:rPr>
            </w:pPr>
            <w:r>
              <w:rPr>
                <w:rFonts w:hint="eastAsia" w:ascii="宋体" w:hAnsi="宋体" w:cs="宋体"/>
                <w:b/>
                <w:sz w:val="24"/>
                <w:szCs w:val="24"/>
              </w:rPr>
              <w:t>电</w:t>
            </w:r>
          </w:p>
          <w:p>
            <w:pPr>
              <w:spacing w:line="400" w:lineRule="exact"/>
              <w:jc w:val="center"/>
              <w:rPr>
                <w:rFonts w:ascii="宋体" w:hAnsi="宋体" w:cs="宋体"/>
                <w:b/>
                <w:sz w:val="24"/>
                <w:szCs w:val="24"/>
              </w:rPr>
            </w:pPr>
            <w:r>
              <w:rPr>
                <w:rFonts w:hint="eastAsia" w:ascii="宋体" w:hAnsi="宋体" w:cs="宋体"/>
                <w:b/>
                <w:sz w:val="24"/>
                <w:szCs w:val="24"/>
              </w:rPr>
              <w:t>磁</w:t>
            </w:r>
          </w:p>
          <w:p>
            <w:pPr>
              <w:spacing w:line="400" w:lineRule="exact"/>
              <w:jc w:val="center"/>
              <w:rPr>
                <w:rFonts w:ascii="宋体" w:hAnsi="宋体" w:cs="宋体"/>
                <w:b/>
                <w:sz w:val="24"/>
                <w:szCs w:val="24"/>
              </w:rPr>
            </w:pPr>
            <w:r>
              <w:rPr>
                <w:rFonts w:hint="eastAsia" w:ascii="宋体" w:hAnsi="宋体" w:cs="宋体"/>
                <w:b/>
                <w:sz w:val="24"/>
                <w:szCs w:val="24"/>
              </w:rPr>
              <w:t>环</w:t>
            </w:r>
          </w:p>
          <w:p>
            <w:pPr>
              <w:spacing w:line="400" w:lineRule="exact"/>
              <w:jc w:val="center"/>
              <w:rPr>
                <w:rFonts w:ascii="宋体" w:hAnsi="宋体" w:cs="宋体"/>
                <w:b/>
                <w:sz w:val="24"/>
                <w:szCs w:val="24"/>
              </w:rPr>
            </w:pPr>
            <w:r>
              <w:rPr>
                <w:rFonts w:hint="eastAsia" w:ascii="宋体" w:hAnsi="宋体" w:cs="宋体"/>
                <w:b/>
                <w:sz w:val="24"/>
                <w:szCs w:val="24"/>
              </w:rPr>
              <w:t>境</w:t>
            </w:r>
          </w:p>
          <w:p>
            <w:pPr>
              <w:spacing w:line="400" w:lineRule="exact"/>
              <w:jc w:val="center"/>
              <w:rPr>
                <w:rFonts w:ascii="宋体" w:hAnsi="宋体" w:cs="宋体"/>
                <w:b/>
                <w:sz w:val="24"/>
                <w:szCs w:val="24"/>
              </w:rPr>
            </w:pPr>
            <w:r>
              <w:rPr>
                <w:rFonts w:hint="eastAsia" w:ascii="宋体" w:hAnsi="宋体" w:cs="宋体"/>
                <w:b/>
                <w:sz w:val="24"/>
                <w:szCs w:val="24"/>
              </w:rPr>
              <w:t>标</w:t>
            </w:r>
          </w:p>
          <w:p>
            <w:pPr>
              <w:spacing w:line="400" w:lineRule="exact"/>
              <w:jc w:val="center"/>
              <w:rPr>
                <w:rFonts w:eastAsia="仿宋_GB2312"/>
                <w:b/>
                <w:sz w:val="24"/>
                <w:szCs w:val="24"/>
              </w:rPr>
            </w:pPr>
            <w:r>
              <w:rPr>
                <w:rFonts w:hint="eastAsia" w:ascii="宋体" w:hAnsi="宋体" w:cs="宋体"/>
                <w:b/>
                <w:sz w:val="24"/>
                <w:szCs w:val="24"/>
              </w:rPr>
              <w:t>准</w:t>
            </w:r>
          </w:p>
        </w:tc>
        <w:tc>
          <w:tcPr>
            <w:tcW w:w="8460" w:type="dxa"/>
            <w:tcBorders>
              <w:top w:val="single" w:color="auto" w:sz="12" w:space="0"/>
              <w:bottom w:val="single" w:color="auto" w:sz="12" w:space="0"/>
              <w:right w:val="single" w:color="auto" w:sz="12" w:space="0"/>
            </w:tcBorders>
          </w:tcPr>
          <w:p>
            <w:pPr>
              <w:spacing w:line="360" w:lineRule="auto"/>
              <w:rPr>
                <w:sz w:val="24"/>
              </w:rPr>
            </w:pPr>
            <w:r>
              <w:rPr>
                <w:sz w:val="24"/>
              </w:rPr>
              <w:t>根据环评执行标准并结合现行标准，该项目验收监测执行标准见表</w:t>
            </w:r>
            <w:r>
              <w:rPr>
                <w:rFonts w:hint="eastAsia"/>
                <w:sz w:val="24"/>
              </w:rPr>
              <w:t>3</w:t>
            </w:r>
            <w:r>
              <w:rPr>
                <w:sz w:val="24"/>
              </w:rPr>
              <w:t>-1。</w:t>
            </w:r>
          </w:p>
          <w:p>
            <w:pPr>
              <w:spacing w:line="360" w:lineRule="auto"/>
              <w:jc w:val="center"/>
              <w:rPr>
                <w:sz w:val="24"/>
              </w:rPr>
            </w:pPr>
            <w:r>
              <w:rPr>
                <w:rFonts w:hint="eastAsia"/>
                <w:sz w:val="24"/>
              </w:rPr>
              <w:t>表3</w:t>
            </w:r>
            <w:r>
              <w:rPr>
                <w:sz w:val="24"/>
              </w:rPr>
              <w:t>-1</w:t>
            </w:r>
            <w:r>
              <w:rPr>
                <w:rFonts w:hint="eastAsia"/>
                <w:sz w:val="24"/>
              </w:rPr>
              <w:t xml:space="preserve">     验收监测执行标准表</w:t>
            </w:r>
          </w:p>
          <w:tbl>
            <w:tblPr>
              <w:tblStyle w:val="17"/>
              <w:tblW w:w="7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838"/>
              <w:gridCol w:w="1838"/>
              <w:gridCol w:w="1838"/>
              <w:gridCol w:w="1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32" w:type="dxa"/>
                  <w:vMerge w:val="restart"/>
                  <w:tcBorders>
                    <w:top w:val="single" w:color="auto" w:sz="12" w:space="0"/>
                  </w:tcBorders>
                  <w:vAlign w:val="center"/>
                </w:tcPr>
                <w:p>
                  <w:pPr>
                    <w:jc w:val="center"/>
                    <w:rPr>
                      <w:rFonts w:hAnsi="宋体"/>
                      <w:szCs w:val="28"/>
                    </w:rPr>
                  </w:pPr>
                  <w:r>
                    <w:rPr>
                      <w:rFonts w:hint="eastAsia" w:hAnsi="宋体"/>
                      <w:szCs w:val="28"/>
                    </w:rPr>
                    <w:t>类别</w:t>
                  </w:r>
                </w:p>
              </w:tc>
              <w:tc>
                <w:tcPr>
                  <w:tcW w:w="3676" w:type="dxa"/>
                  <w:gridSpan w:val="2"/>
                  <w:tcBorders>
                    <w:top w:val="single" w:color="auto" w:sz="12" w:space="0"/>
                    <w:bottom w:val="single" w:color="auto" w:sz="12" w:space="0"/>
                  </w:tcBorders>
                  <w:vAlign w:val="center"/>
                </w:tcPr>
                <w:p>
                  <w:pPr>
                    <w:jc w:val="center"/>
                    <w:rPr>
                      <w:rFonts w:hAnsi="宋体"/>
                      <w:szCs w:val="28"/>
                    </w:rPr>
                  </w:pPr>
                  <w:r>
                    <w:rPr>
                      <w:rFonts w:hint="eastAsia" w:hAnsi="宋体"/>
                      <w:szCs w:val="28"/>
                    </w:rPr>
                    <w:t>环评阶段</w:t>
                  </w:r>
                </w:p>
              </w:tc>
              <w:tc>
                <w:tcPr>
                  <w:tcW w:w="3472" w:type="dxa"/>
                  <w:gridSpan w:val="2"/>
                  <w:tcBorders>
                    <w:top w:val="single" w:color="auto" w:sz="12" w:space="0"/>
                    <w:bottom w:val="single" w:color="auto" w:sz="12" w:space="0"/>
                  </w:tcBorders>
                  <w:vAlign w:val="center"/>
                </w:tcPr>
                <w:p>
                  <w:pPr>
                    <w:jc w:val="center"/>
                    <w:rPr>
                      <w:sz w:val="24"/>
                    </w:rPr>
                  </w:pPr>
                  <w:r>
                    <w:rPr>
                      <w:rFonts w:hint="eastAsia" w:hAnsi="宋体"/>
                      <w:szCs w:val="28"/>
                    </w:rPr>
                    <w:t>验收阶段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32" w:type="dxa"/>
                  <w:vMerge w:val="continue"/>
                  <w:tcBorders>
                    <w:bottom w:val="single" w:color="auto" w:sz="12" w:space="0"/>
                  </w:tcBorders>
                  <w:vAlign w:val="center"/>
                </w:tcPr>
                <w:p>
                  <w:pPr>
                    <w:jc w:val="center"/>
                    <w:rPr>
                      <w:rFonts w:hAnsi="宋体"/>
                      <w:szCs w:val="28"/>
                    </w:rPr>
                  </w:pPr>
                </w:p>
              </w:tc>
              <w:tc>
                <w:tcPr>
                  <w:tcW w:w="1838" w:type="dxa"/>
                  <w:tcBorders>
                    <w:top w:val="single" w:color="auto" w:sz="12" w:space="0"/>
                    <w:bottom w:val="single" w:color="auto" w:sz="12" w:space="0"/>
                  </w:tcBorders>
                  <w:vAlign w:val="center"/>
                </w:tcPr>
                <w:p>
                  <w:pPr>
                    <w:jc w:val="center"/>
                    <w:rPr>
                      <w:rFonts w:hAnsi="宋体"/>
                      <w:szCs w:val="28"/>
                    </w:rPr>
                  </w:pPr>
                  <w:r>
                    <w:rPr>
                      <w:rFonts w:hint="eastAsia" w:hAnsi="宋体"/>
                      <w:szCs w:val="28"/>
                    </w:rPr>
                    <w:t>环评</w:t>
                  </w:r>
                  <w:r>
                    <w:rPr>
                      <w:rFonts w:hAnsi="宋体"/>
                      <w:szCs w:val="28"/>
                    </w:rPr>
                    <w:t>监测标准</w:t>
                  </w:r>
                </w:p>
              </w:tc>
              <w:tc>
                <w:tcPr>
                  <w:tcW w:w="1838" w:type="dxa"/>
                  <w:tcBorders>
                    <w:top w:val="single" w:color="auto" w:sz="12" w:space="0"/>
                    <w:bottom w:val="single" w:color="auto" w:sz="12" w:space="0"/>
                  </w:tcBorders>
                  <w:vAlign w:val="center"/>
                </w:tcPr>
                <w:p>
                  <w:pPr>
                    <w:jc w:val="center"/>
                    <w:rPr>
                      <w:rFonts w:hAnsi="宋体"/>
                      <w:szCs w:val="28"/>
                    </w:rPr>
                  </w:pPr>
                  <w:r>
                    <w:rPr>
                      <w:rFonts w:hint="eastAsia" w:hAnsi="宋体"/>
                      <w:szCs w:val="28"/>
                    </w:rPr>
                    <w:t>标准限值</w:t>
                  </w:r>
                </w:p>
              </w:tc>
              <w:tc>
                <w:tcPr>
                  <w:tcW w:w="1838" w:type="dxa"/>
                  <w:tcBorders>
                    <w:top w:val="single" w:color="auto" w:sz="12" w:space="0"/>
                    <w:bottom w:val="single" w:color="auto" w:sz="12" w:space="0"/>
                  </w:tcBorders>
                  <w:vAlign w:val="center"/>
                </w:tcPr>
                <w:p>
                  <w:pPr>
                    <w:jc w:val="center"/>
                    <w:rPr>
                      <w:rFonts w:hAnsi="宋体"/>
                      <w:szCs w:val="28"/>
                    </w:rPr>
                  </w:pPr>
                  <w:r>
                    <w:rPr>
                      <w:rFonts w:hAnsi="宋体"/>
                      <w:szCs w:val="28"/>
                    </w:rPr>
                    <w:t>验收监测标准</w:t>
                  </w:r>
                </w:p>
              </w:tc>
              <w:tc>
                <w:tcPr>
                  <w:tcW w:w="1634" w:type="dxa"/>
                  <w:tcBorders>
                    <w:top w:val="single" w:color="auto" w:sz="12" w:space="0"/>
                    <w:bottom w:val="single" w:color="auto" w:sz="12" w:space="0"/>
                  </w:tcBorders>
                  <w:vAlign w:val="center"/>
                </w:tcPr>
                <w:p>
                  <w:pPr>
                    <w:jc w:val="center"/>
                    <w:rPr>
                      <w:rFonts w:hAnsi="宋体"/>
                      <w:szCs w:val="28"/>
                    </w:rPr>
                  </w:pPr>
                  <w:r>
                    <w:rPr>
                      <w:rFonts w:hint="eastAsia" w:hAnsi="宋体"/>
                      <w:szCs w:val="28"/>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atLeast"/>
              </w:trPr>
              <w:tc>
                <w:tcPr>
                  <w:tcW w:w="732" w:type="dxa"/>
                  <w:tcBorders>
                    <w:top w:val="single" w:color="auto" w:sz="12" w:space="0"/>
                    <w:bottom w:val="single" w:color="auto" w:sz="12" w:space="0"/>
                  </w:tcBorders>
                  <w:vAlign w:val="center"/>
                </w:tcPr>
                <w:p>
                  <w:pPr>
                    <w:jc w:val="center"/>
                    <w:rPr>
                      <w:sz w:val="24"/>
                    </w:rPr>
                  </w:pPr>
                  <w:r>
                    <w:rPr>
                      <w:rFonts w:hint="eastAsia" w:hAnsi="宋体"/>
                      <w:szCs w:val="28"/>
                    </w:rPr>
                    <w:t>工频电磁场</w:t>
                  </w:r>
                </w:p>
              </w:tc>
              <w:tc>
                <w:tcPr>
                  <w:tcW w:w="1838" w:type="dxa"/>
                  <w:tcBorders>
                    <w:top w:val="single" w:color="auto" w:sz="12" w:space="0"/>
                    <w:bottom w:val="single" w:color="auto" w:sz="12" w:space="0"/>
                  </w:tcBorders>
                  <w:vAlign w:val="center"/>
                </w:tcPr>
                <w:p>
                  <w:pPr>
                    <w:jc w:val="center"/>
                    <w:rPr>
                      <w:szCs w:val="21"/>
                    </w:rPr>
                  </w:pPr>
                  <w:r>
                    <w:rPr>
                      <w:szCs w:val="21"/>
                    </w:rPr>
                    <w:t>《电磁环境控制限值》(</w:t>
                  </w:r>
                  <w:r>
                    <w:rPr>
                      <w:rFonts w:hint="eastAsia"/>
                      <w:szCs w:val="21"/>
                    </w:rPr>
                    <w:t>GB8702</w:t>
                  </w:r>
                  <w:r>
                    <w:rPr>
                      <w:szCs w:val="21"/>
                    </w:rPr>
                    <w:t>-2014)</w:t>
                  </w:r>
                </w:p>
              </w:tc>
              <w:tc>
                <w:tcPr>
                  <w:tcW w:w="1838" w:type="dxa"/>
                  <w:tcBorders>
                    <w:top w:val="single" w:color="auto" w:sz="12" w:space="0"/>
                    <w:bottom w:val="single" w:color="auto" w:sz="12" w:space="0"/>
                  </w:tcBorders>
                  <w:vAlign w:val="center"/>
                </w:tcPr>
                <w:p>
                  <w:pPr>
                    <w:jc w:val="center"/>
                    <w:rPr>
                      <w:szCs w:val="21"/>
                    </w:rPr>
                  </w:pPr>
                  <w:r>
                    <w:rPr>
                      <w:szCs w:val="21"/>
                    </w:rPr>
                    <w:t>工频电场4</w:t>
                  </w:r>
                  <w:r>
                    <w:rPr>
                      <w:rFonts w:hint="eastAsia"/>
                      <w:szCs w:val="21"/>
                    </w:rPr>
                    <w:t>000</w:t>
                  </w:r>
                  <w:r>
                    <w:rPr>
                      <w:szCs w:val="21"/>
                    </w:rPr>
                    <w:t>V/m、工频磁感应强度</w:t>
                  </w:r>
                  <w:r>
                    <w:rPr>
                      <w:bCs/>
                      <w:szCs w:val="21"/>
                    </w:rPr>
                    <w:t>100μT</w:t>
                  </w:r>
                </w:p>
              </w:tc>
              <w:tc>
                <w:tcPr>
                  <w:tcW w:w="1838" w:type="dxa"/>
                  <w:tcBorders>
                    <w:top w:val="single" w:color="auto" w:sz="12" w:space="0"/>
                    <w:bottom w:val="single" w:color="auto" w:sz="12" w:space="0"/>
                  </w:tcBorders>
                  <w:vAlign w:val="center"/>
                </w:tcPr>
                <w:p>
                  <w:pPr>
                    <w:jc w:val="center"/>
                    <w:rPr>
                      <w:szCs w:val="21"/>
                    </w:rPr>
                  </w:pPr>
                  <w:r>
                    <w:rPr>
                      <w:szCs w:val="21"/>
                    </w:rPr>
                    <w:t>《电磁环境控制限值》(</w:t>
                  </w:r>
                  <w:r>
                    <w:rPr>
                      <w:rFonts w:hint="eastAsia"/>
                      <w:szCs w:val="21"/>
                    </w:rPr>
                    <w:t>GB8702</w:t>
                  </w:r>
                  <w:r>
                    <w:rPr>
                      <w:szCs w:val="21"/>
                    </w:rPr>
                    <w:t>-2014)</w:t>
                  </w:r>
                </w:p>
              </w:tc>
              <w:tc>
                <w:tcPr>
                  <w:tcW w:w="1634" w:type="dxa"/>
                  <w:tcBorders>
                    <w:top w:val="single" w:color="auto" w:sz="12" w:space="0"/>
                    <w:bottom w:val="single" w:color="auto" w:sz="12" w:space="0"/>
                  </w:tcBorders>
                  <w:vAlign w:val="center"/>
                </w:tcPr>
                <w:p>
                  <w:pPr>
                    <w:jc w:val="center"/>
                    <w:rPr>
                      <w:sz w:val="24"/>
                    </w:rPr>
                  </w:pPr>
                  <w:r>
                    <w:rPr>
                      <w:szCs w:val="21"/>
                    </w:rPr>
                    <w:t>工频电场4</w:t>
                  </w:r>
                  <w:r>
                    <w:rPr>
                      <w:rFonts w:hint="eastAsia"/>
                      <w:szCs w:val="21"/>
                    </w:rPr>
                    <w:t>000</w:t>
                  </w:r>
                  <w:r>
                    <w:rPr>
                      <w:szCs w:val="21"/>
                    </w:rPr>
                    <w:t>V/m、工频磁感应强度</w:t>
                  </w:r>
                  <w:r>
                    <w:rPr>
                      <w:bCs/>
                      <w:szCs w:val="21"/>
                    </w:rPr>
                    <w:t>100μT</w:t>
                  </w:r>
                </w:p>
              </w:tc>
            </w:tr>
          </w:tbl>
          <w:p>
            <w:pPr>
              <w:spacing w:line="360" w:lineRule="auto"/>
              <w:ind w:firstLine="480" w:firstLineChars="200"/>
              <w:rPr>
                <w:sz w:val="24"/>
              </w:rPr>
            </w:pPr>
            <w:r>
              <w:rPr>
                <w:rFonts w:hint="eastAsia"/>
                <w:sz w:val="24"/>
                <w:szCs w:val="24"/>
              </w:rPr>
              <w:t>从上表可以看出，环评阶段与验收阶段所执行的电磁环境标准是一致的。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433" w:hRule="atLeast"/>
        </w:trPr>
        <w:tc>
          <w:tcPr>
            <w:tcW w:w="824" w:type="dxa"/>
            <w:tcBorders>
              <w:top w:val="single" w:color="auto" w:sz="12" w:space="0"/>
              <w:left w:val="single" w:color="auto" w:sz="12" w:space="0"/>
              <w:bottom w:val="single" w:color="auto" w:sz="12" w:space="0"/>
            </w:tcBorders>
            <w:vAlign w:val="center"/>
          </w:tcPr>
          <w:p>
            <w:pPr>
              <w:spacing w:line="400" w:lineRule="exact"/>
              <w:jc w:val="center"/>
              <w:rPr>
                <w:rFonts w:ascii="宋体" w:hAnsi="宋体" w:cs="宋体"/>
                <w:b/>
                <w:sz w:val="24"/>
                <w:szCs w:val="24"/>
              </w:rPr>
            </w:pPr>
            <w:r>
              <w:rPr>
                <w:rFonts w:hint="eastAsia" w:ascii="宋体" w:hAnsi="宋体" w:cs="宋体"/>
                <w:b/>
                <w:sz w:val="24"/>
                <w:szCs w:val="24"/>
              </w:rPr>
              <w:t>声</w:t>
            </w:r>
          </w:p>
          <w:p>
            <w:pPr>
              <w:spacing w:line="400" w:lineRule="exact"/>
              <w:jc w:val="center"/>
              <w:rPr>
                <w:rFonts w:ascii="宋体" w:hAnsi="宋体" w:cs="宋体"/>
                <w:b/>
                <w:sz w:val="24"/>
                <w:szCs w:val="24"/>
              </w:rPr>
            </w:pPr>
            <w:r>
              <w:rPr>
                <w:rFonts w:hint="eastAsia" w:ascii="宋体" w:hAnsi="宋体" w:cs="宋体"/>
                <w:b/>
                <w:sz w:val="24"/>
                <w:szCs w:val="24"/>
              </w:rPr>
              <w:t>环</w:t>
            </w:r>
          </w:p>
          <w:p>
            <w:pPr>
              <w:spacing w:line="400" w:lineRule="exact"/>
              <w:jc w:val="center"/>
              <w:rPr>
                <w:rFonts w:ascii="宋体" w:hAnsi="宋体" w:cs="宋体"/>
                <w:b/>
                <w:sz w:val="24"/>
                <w:szCs w:val="24"/>
              </w:rPr>
            </w:pPr>
            <w:r>
              <w:rPr>
                <w:rFonts w:hint="eastAsia" w:ascii="宋体" w:hAnsi="宋体" w:cs="宋体"/>
                <w:b/>
                <w:sz w:val="24"/>
                <w:szCs w:val="24"/>
              </w:rPr>
              <w:t>境</w:t>
            </w:r>
          </w:p>
          <w:p>
            <w:pPr>
              <w:spacing w:line="400" w:lineRule="exact"/>
              <w:jc w:val="center"/>
              <w:rPr>
                <w:rFonts w:ascii="宋体" w:hAnsi="宋体" w:cs="宋体"/>
                <w:b/>
                <w:sz w:val="24"/>
                <w:szCs w:val="24"/>
              </w:rPr>
            </w:pPr>
            <w:r>
              <w:rPr>
                <w:rFonts w:hint="eastAsia" w:ascii="宋体" w:hAnsi="宋体" w:cs="宋体"/>
                <w:b/>
                <w:sz w:val="24"/>
                <w:szCs w:val="24"/>
              </w:rPr>
              <w:t>标</w:t>
            </w:r>
          </w:p>
          <w:p>
            <w:pPr>
              <w:spacing w:line="400" w:lineRule="exact"/>
              <w:jc w:val="center"/>
              <w:rPr>
                <w:rFonts w:ascii="宋体" w:hAnsi="宋体" w:cs="宋体"/>
                <w:b/>
                <w:sz w:val="24"/>
                <w:szCs w:val="24"/>
              </w:rPr>
            </w:pPr>
            <w:r>
              <w:rPr>
                <w:rFonts w:hint="eastAsia" w:ascii="宋体" w:hAnsi="宋体" w:cs="宋体"/>
                <w:b/>
                <w:sz w:val="24"/>
                <w:szCs w:val="24"/>
              </w:rPr>
              <w:t>准</w:t>
            </w:r>
          </w:p>
        </w:tc>
        <w:tc>
          <w:tcPr>
            <w:tcW w:w="8460" w:type="dxa"/>
            <w:tcBorders>
              <w:top w:val="single" w:color="auto" w:sz="12" w:space="0"/>
              <w:bottom w:val="single" w:color="auto" w:sz="12" w:space="0"/>
              <w:right w:val="single" w:color="auto" w:sz="12" w:space="0"/>
            </w:tcBorders>
          </w:tcPr>
          <w:p>
            <w:pPr>
              <w:spacing w:line="360" w:lineRule="auto"/>
              <w:rPr>
                <w:sz w:val="24"/>
              </w:rPr>
            </w:pPr>
            <w:r>
              <w:rPr>
                <w:sz w:val="24"/>
              </w:rPr>
              <w:t>根据环评执行标准并结合现行标准，该项目验收监测执行标准见表</w:t>
            </w:r>
            <w:r>
              <w:rPr>
                <w:rFonts w:hint="eastAsia"/>
                <w:sz w:val="24"/>
              </w:rPr>
              <w:t>3</w:t>
            </w:r>
            <w:r>
              <w:rPr>
                <w:sz w:val="24"/>
              </w:rPr>
              <w:t>-</w:t>
            </w:r>
            <w:r>
              <w:rPr>
                <w:rFonts w:hint="eastAsia"/>
                <w:sz w:val="24"/>
              </w:rPr>
              <w:t>2</w:t>
            </w:r>
            <w:r>
              <w:rPr>
                <w:sz w:val="24"/>
              </w:rPr>
              <w:t>。</w:t>
            </w:r>
          </w:p>
          <w:p>
            <w:pPr>
              <w:spacing w:line="360" w:lineRule="auto"/>
              <w:ind w:firstLine="480" w:firstLineChars="200"/>
              <w:jc w:val="center"/>
              <w:rPr>
                <w:sz w:val="24"/>
              </w:rPr>
            </w:pPr>
            <w:r>
              <w:rPr>
                <w:rFonts w:hint="eastAsia"/>
                <w:sz w:val="24"/>
              </w:rPr>
              <w:t>表3</w:t>
            </w:r>
            <w:r>
              <w:rPr>
                <w:sz w:val="24"/>
              </w:rPr>
              <w:t>-</w:t>
            </w:r>
            <w:r>
              <w:rPr>
                <w:rFonts w:hint="eastAsia"/>
                <w:sz w:val="24"/>
              </w:rPr>
              <w:t>2     验收监测执行标准表</w:t>
            </w:r>
          </w:p>
          <w:tbl>
            <w:tblPr>
              <w:tblStyle w:val="17"/>
              <w:tblW w:w="7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845"/>
              <w:gridCol w:w="1560"/>
              <w:gridCol w:w="1845"/>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710" w:type="dxa"/>
                  <w:vMerge w:val="restart"/>
                  <w:tcBorders>
                    <w:top w:val="single" w:color="auto" w:sz="12" w:space="0"/>
                  </w:tcBorders>
                  <w:vAlign w:val="center"/>
                </w:tcPr>
                <w:p>
                  <w:pPr>
                    <w:spacing w:line="560" w:lineRule="exact"/>
                    <w:jc w:val="center"/>
                    <w:rPr>
                      <w:sz w:val="24"/>
                    </w:rPr>
                  </w:pPr>
                  <w:r>
                    <w:rPr>
                      <w:rFonts w:hint="eastAsia" w:hAnsi="宋体"/>
                      <w:szCs w:val="28"/>
                    </w:rPr>
                    <w:t>类别</w:t>
                  </w:r>
                </w:p>
              </w:tc>
              <w:tc>
                <w:tcPr>
                  <w:tcW w:w="3405" w:type="dxa"/>
                  <w:gridSpan w:val="2"/>
                  <w:tcBorders>
                    <w:top w:val="single" w:color="auto" w:sz="12" w:space="0"/>
                    <w:bottom w:val="single" w:color="auto" w:sz="12" w:space="0"/>
                  </w:tcBorders>
                  <w:vAlign w:val="center"/>
                </w:tcPr>
                <w:p>
                  <w:pPr>
                    <w:jc w:val="center"/>
                    <w:rPr>
                      <w:rFonts w:hAnsi="宋体"/>
                      <w:szCs w:val="28"/>
                    </w:rPr>
                  </w:pPr>
                  <w:r>
                    <w:rPr>
                      <w:rFonts w:hint="eastAsia" w:hAnsi="宋体"/>
                      <w:szCs w:val="28"/>
                    </w:rPr>
                    <w:t>环评阶段</w:t>
                  </w:r>
                </w:p>
              </w:tc>
              <w:tc>
                <w:tcPr>
                  <w:tcW w:w="3825" w:type="dxa"/>
                  <w:gridSpan w:val="2"/>
                  <w:tcBorders>
                    <w:top w:val="single" w:color="auto" w:sz="12" w:space="0"/>
                    <w:bottom w:val="single" w:color="auto" w:sz="12" w:space="0"/>
                  </w:tcBorders>
                  <w:vAlign w:val="center"/>
                </w:tcPr>
                <w:p>
                  <w:pPr>
                    <w:jc w:val="center"/>
                    <w:rPr>
                      <w:rFonts w:hAnsi="宋体"/>
                      <w:szCs w:val="28"/>
                    </w:rPr>
                  </w:pPr>
                  <w:r>
                    <w:rPr>
                      <w:rFonts w:hint="eastAsia" w:hAnsi="宋体"/>
                      <w:szCs w:val="28"/>
                    </w:rPr>
                    <w:t>验收阶段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710" w:type="dxa"/>
                  <w:vMerge w:val="continue"/>
                  <w:tcBorders>
                    <w:bottom w:val="single" w:color="auto" w:sz="12" w:space="0"/>
                  </w:tcBorders>
                  <w:vAlign w:val="center"/>
                </w:tcPr>
                <w:p>
                  <w:pPr>
                    <w:spacing w:line="560" w:lineRule="exact"/>
                    <w:jc w:val="center"/>
                    <w:rPr>
                      <w:rFonts w:hAnsi="宋体"/>
                      <w:szCs w:val="28"/>
                    </w:rPr>
                  </w:pPr>
                </w:p>
              </w:tc>
              <w:tc>
                <w:tcPr>
                  <w:tcW w:w="1845" w:type="dxa"/>
                  <w:tcBorders>
                    <w:top w:val="single" w:color="auto" w:sz="12" w:space="0"/>
                    <w:bottom w:val="single" w:color="auto" w:sz="12" w:space="0"/>
                  </w:tcBorders>
                  <w:vAlign w:val="center"/>
                </w:tcPr>
                <w:p>
                  <w:pPr>
                    <w:jc w:val="center"/>
                    <w:rPr>
                      <w:rFonts w:hAnsi="宋体"/>
                      <w:szCs w:val="28"/>
                    </w:rPr>
                  </w:pPr>
                  <w:r>
                    <w:rPr>
                      <w:rFonts w:hint="eastAsia" w:hAnsi="宋体"/>
                      <w:szCs w:val="28"/>
                    </w:rPr>
                    <w:t>环评</w:t>
                  </w:r>
                  <w:r>
                    <w:rPr>
                      <w:rFonts w:hAnsi="宋体"/>
                      <w:szCs w:val="28"/>
                    </w:rPr>
                    <w:t>监测标准</w:t>
                  </w:r>
                </w:p>
              </w:tc>
              <w:tc>
                <w:tcPr>
                  <w:tcW w:w="1560" w:type="dxa"/>
                  <w:tcBorders>
                    <w:top w:val="single" w:color="auto" w:sz="12" w:space="0"/>
                    <w:bottom w:val="single" w:color="auto" w:sz="12" w:space="0"/>
                  </w:tcBorders>
                  <w:vAlign w:val="center"/>
                </w:tcPr>
                <w:p>
                  <w:pPr>
                    <w:jc w:val="center"/>
                    <w:rPr>
                      <w:rFonts w:hAnsi="宋体"/>
                      <w:szCs w:val="28"/>
                    </w:rPr>
                  </w:pPr>
                  <w:r>
                    <w:rPr>
                      <w:rFonts w:hint="eastAsia" w:hAnsi="宋体"/>
                      <w:szCs w:val="28"/>
                    </w:rPr>
                    <w:t>标准限值</w:t>
                  </w:r>
                </w:p>
              </w:tc>
              <w:tc>
                <w:tcPr>
                  <w:tcW w:w="1845" w:type="dxa"/>
                  <w:tcBorders>
                    <w:top w:val="single" w:color="auto" w:sz="12" w:space="0"/>
                    <w:bottom w:val="single" w:color="auto" w:sz="12" w:space="0"/>
                  </w:tcBorders>
                  <w:vAlign w:val="center"/>
                </w:tcPr>
                <w:p>
                  <w:pPr>
                    <w:jc w:val="center"/>
                    <w:rPr>
                      <w:rFonts w:hAnsi="宋体"/>
                      <w:szCs w:val="28"/>
                    </w:rPr>
                  </w:pPr>
                  <w:r>
                    <w:rPr>
                      <w:rFonts w:hAnsi="宋体"/>
                      <w:szCs w:val="28"/>
                    </w:rPr>
                    <w:t>验收监测标准</w:t>
                  </w:r>
                </w:p>
              </w:tc>
              <w:tc>
                <w:tcPr>
                  <w:tcW w:w="1980" w:type="dxa"/>
                  <w:tcBorders>
                    <w:top w:val="single" w:color="auto" w:sz="12" w:space="0"/>
                    <w:bottom w:val="single" w:color="auto" w:sz="12" w:space="0"/>
                  </w:tcBorders>
                  <w:vAlign w:val="center"/>
                </w:tcPr>
                <w:p>
                  <w:pPr>
                    <w:jc w:val="center"/>
                    <w:rPr>
                      <w:rFonts w:hAnsi="宋体"/>
                      <w:szCs w:val="28"/>
                    </w:rPr>
                  </w:pPr>
                  <w:r>
                    <w:rPr>
                      <w:rFonts w:hint="eastAsia" w:hAnsi="宋体"/>
                      <w:szCs w:val="28"/>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3" w:hRule="atLeast"/>
              </w:trPr>
              <w:tc>
                <w:tcPr>
                  <w:tcW w:w="710" w:type="dxa"/>
                  <w:vMerge w:val="restart"/>
                  <w:tcBorders>
                    <w:top w:val="single" w:color="auto" w:sz="12" w:space="0"/>
                    <w:bottom w:val="single" w:color="auto" w:sz="12" w:space="0"/>
                  </w:tcBorders>
                  <w:vAlign w:val="center"/>
                </w:tcPr>
                <w:p>
                  <w:pPr>
                    <w:jc w:val="center"/>
                    <w:rPr>
                      <w:sz w:val="24"/>
                    </w:rPr>
                  </w:pPr>
                  <w:r>
                    <w:rPr>
                      <w:rFonts w:hint="eastAsia" w:hAnsi="宋体"/>
                      <w:szCs w:val="28"/>
                    </w:rPr>
                    <w:t>噪声</w:t>
                  </w:r>
                </w:p>
              </w:tc>
              <w:tc>
                <w:tcPr>
                  <w:tcW w:w="1845" w:type="dxa"/>
                  <w:tcBorders>
                    <w:top w:val="single" w:color="auto" w:sz="12" w:space="0"/>
                  </w:tcBorders>
                  <w:vAlign w:val="center"/>
                </w:tcPr>
                <w:p>
                  <w:pPr>
                    <w:jc w:val="center"/>
                    <w:rPr>
                      <w:szCs w:val="21"/>
                    </w:rPr>
                  </w:pPr>
                  <w:r>
                    <w:rPr>
                      <w:szCs w:val="21"/>
                    </w:rPr>
                    <w:t>《声环境质量标准》（GB3096-2008）</w:t>
                  </w:r>
                </w:p>
                <w:p>
                  <w:pPr>
                    <w:jc w:val="center"/>
                    <w:rPr>
                      <w:szCs w:val="21"/>
                    </w:rPr>
                  </w:pPr>
                  <w:r>
                    <w:rPr>
                      <w:szCs w:val="21"/>
                    </w:rPr>
                    <w:t>2类</w:t>
                  </w:r>
                </w:p>
              </w:tc>
              <w:tc>
                <w:tcPr>
                  <w:tcW w:w="1560" w:type="dxa"/>
                  <w:tcBorders>
                    <w:top w:val="single" w:color="auto" w:sz="12" w:space="0"/>
                  </w:tcBorders>
                  <w:vAlign w:val="center"/>
                </w:tcPr>
                <w:p>
                  <w:pPr>
                    <w:jc w:val="center"/>
                    <w:rPr>
                      <w:szCs w:val="21"/>
                    </w:rPr>
                  </w:pPr>
                  <w:r>
                    <w:rPr>
                      <w:szCs w:val="21"/>
                    </w:rPr>
                    <w:t>《声环境质量标准》2类：</w:t>
                  </w:r>
                </w:p>
                <w:p>
                  <w:pPr>
                    <w:jc w:val="center"/>
                    <w:rPr>
                      <w:szCs w:val="21"/>
                    </w:rPr>
                  </w:pPr>
                  <w:r>
                    <w:rPr>
                      <w:szCs w:val="21"/>
                    </w:rPr>
                    <w:t>昼间60dB（A）</w:t>
                  </w:r>
                </w:p>
                <w:p>
                  <w:pPr>
                    <w:jc w:val="center"/>
                    <w:rPr>
                      <w:szCs w:val="21"/>
                    </w:rPr>
                  </w:pPr>
                  <w:r>
                    <w:rPr>
                      <w:szCs w:val="21"/>
                    </w:rPr>
                    <w:t>夜间50dB（A）</w:t>
                  </w:r>
                </w:p>
              </w:tc>
              <w:tc>
                <w:tcPr>
                  <w:tcW w:w="1845" w:type="dxa"/>
                  <w:tcBorders>
                    <w:top w:val="single" w:color="auto" w:sz="12" w:space="0"/>
                  </w:tcBorders>
                  <w:vAlign w:val="center"/>
                </w:tcPr>
                <w:p>
                  <w:pPr>
                    <w:jc w:val="center"/>
                    <w:rPr>
                      <w:szCs w:val="21"/>
                    </w:rPr>
                  </w:pPr>
                  <w:r>
                    <w:rPr>
                      <w:szCs w:val="21"/>
                    </w:rPr>
                    <w:t>《声环境质量标准》（GB3096-2008）</w:t>
                  </w:r>
                </w:p>
                <w:p>
                  <w:pPr>
                    <w:jc w:val="center"/>
                    <w:rPr>
                      <w:sz w:val="24"/>
                    </w:rPr>
                  </w:pPr>
                  <w:r>
                    <w:rPr>
                      <w:szCs w:val="21"/>
                    </w:rPr>
                    <w:t>2类</w:t>
                  </w:r>
                </w:p>
              </w:tc>
              <w:tc>
                <w:tcPr>
                  <w:tcW w:w="1980" w:type="dxa"/>
                  <w:tcBorders>
                    <w:top w:val="single" w:color="auto" w:sz="12" w:space="0"/>
                  </w:tcBorders>
                  <w:vAlign w:val="center"/>
                </w:tcPr>
                <w:p>
                  <w:pPr>
                    <w:jc w:val="center"/>
                    <w:rPr>
                      <w:szCs w:val="21"/>
                    </w:rPr>
                  </w:pPr>
                  <w:r>
                    <w:rPr>
                      <w:szCs w:val="21"/>
                    </w:rPr>
                    <w:t>《声环境质量标准》2类：</w:t>
                  </w:r>
                </w:p>
                <w:p>
                  <w:pPr>
                    <w:jc w:val="center"/>
                    <w:rPr>
                      <w:szCs w:val="21"/>
                    </w:rPr>
                  </w:pPr>
                  <w:r>
                    <w:rPr>
                      <w:szCs w:val="21"/>
                    </w:rPr>
                    <w:t>昼间60dB（A）</w:t>
                  </w:r>
                </w:p>
                <w:p>
                  <w:pPr>
                    <w:jc w:val="center"/>
                    <w:rPr>
                      <w:sz w:val="24"/>
                    </w:rPr>
                  </w:pPr>
                  <w:r>
                    <w:rPr>
                      <w:szCs w:val="21"/>
                    </w:rPr>
                    <w:t>夜间50dB（A）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5" w:hRule="atLeast"/>
              </w:trPr>
              <w:tc>
                <w:tcPr>
                  <w:tcW w:w="710" w:type="dxa"/>
                  <w:vMerge w:val="continue"/>
                  <w:tcBorders>
                    <w:top w:val="single" w:color="auto" w:sz="12" w:space="0"/>
                    <w:bottom w:val="single" w:color="auto" w:sz="12" w:space="0"/>
                  </w:tcBorders>
                  <w:vAlign w:val="center"/>
                </w:tcPr>
                <w:p>
                  <w:pPr>
                    <w:jc w:val="center"/>
                    <w:rPr>
                      <w:sz w:val="24"/>
                    </w:rPr>
                  </w:pPr>
                </w:p>
              </w:tc>
              <w:tc>
                <w:tcPr>
                  <w:tcW w:w="1845" w:type="dxa"/>
                  <w:tcBorders>
                    <w:bottom w:val="single" w:color="auto" w:sz="12" w:space="0"/>
                  </w:tcBorders>
                  <w:vAlign w:val="center"/>
                </w:tcPr>
                <w:p>
                  <w:pPr>
                    <w:jc w:val="center"/>
                    <w:rPr>
                      <w:szCs w:val="21"/>
                    </w:rPr>
                  </w:pPr>
                  <w:r>
                    <w:rPr>
                      <w:szCs w:val="21"/>
                    </w:rPr>
                    <w:t>《工业企业厂界环境噪声排放标准》</w:t>
                  </w:r>
                </w:p>
                <w:p>
                  <w:pPr>
                    <w:jc w:val="center"/>
                    <w:rPr>
                      <w:szCs w:val="21"/>
                    </w:rPr>
                  </w:pPr>
                  <w:r>
                    <w:rPr>
                      <w:szCs w:val="21"/>
                    </w:rPr>
                    <w:t>（</w:t>
                  </w:r>
                  <w:r>
                    <w:rPr>
                      <w:bCs/>
                      <w:szCs w:val="21"/>
                    </w:rPr>
                    <w:t>GB12348</w:t>
                  </w:r>
                  <w:r>
                    <w:rPr>
                      <w:szCs w:val="21"/>
                    </w:rPr>
                    <w:t>-</w:t>
                  </w:r>
                  <w:r>
                    <w:rPr>
                      <w:bCs/>
                      <w:szCs w:val="21"/>
                    </w:rPr>
                    <w:t>2008</w:t>
                  </w:r>
                  <w:r>
                    <w:rPr>
                      <w:szCs w:val="21"/>
                    </w:rPr>
                    <w:t>）</w:t>
                  </w:r>
                </w:p>
                <w:p>
                  <w:pPr>
                    <w:jc w:val="center"/>
                    <w:rPr>
                      <w:szCs w:val="21"/>
                    </w:rPr>
                  </w:pPr>
                  <w:r>
                    <w:rPr>
                      <w:szCs w:val="21"/>
                    </w:rPr>
                    <w:t>2类</w:t>
                  </w:r>
                </w:p>
              </w:tc>
              <w:tc>
                <w:tcPr>
                  <w:tcW w:w="1560" w:type="dxa"/>
                  <w:tcBorders>
                    <w:bottom w:val="single" w:color="auto" w:sz="12" w:space="0"/>
                  </w:tcBorders>
                  <w:vAlign w:val="center"/>
                </w:tcPr>
                <w:p>
                  <w:pPr>
                    <w:rPr>
                      <w:szCs w:val="21"/>
                    </w:rPr>
                  </w:pPr>
                  <w:r>
                    <w:rPr>
                      <w:szCs w:val="21"/>
                    </w:rPr>
                    <w:t>《工业企业厂界环境噪声排放标准》2类：</w:t>
                  </w:r>
                </w:p>
                <w:p>
                  <w:pPr>
                    <w:jc w:val="center"/>
                    <w:rPr>
                      <w:szCs w:val="21"/>
                    </w:rPr>
                  </w:pPr>
                  <w:r>
                    <w:rPr>
                      <w:szCs w:val="21"/>
                    </w:rPr>
                    <w:t>昼间60dB（A）</w:t>
                  </w:r>
                </w:p>
                <w:p>
                  <w:pPr>
                    <w:jc w:val="center"/>
                    <w:rPr>
                      <w:szCs w:val="21"/>
                    </w:rPr>
                  </w:pPr>
                  <w:r>
                    <w:rPr>
                      <w:szCs w:val="21"/>
                    </w:rPr>
                    <w:t>夜间50dB（A）</w:t>
                  </w:r>
                </w:p>
              </w:tc>
              <w:tc>
                <w:tcPr>
                  <w:tcW w:w="1845" w:type="dxa"/>
                  <w:tcBorders>
                    <w:bottom w:val="single" w:color="auto" w:sz="12" w:space="0"/>
                  </w:tcBorders>
                  <w:vAlign w:val="center"/>
                </w:tcPr>
                <w:p>
                  <w:pPr>
                    <w:jc w:val="center"/>
                    <w:rPr>
                      <w:szCs w:val="21"/>
                    </w:rPr>
                  </w:pPr>
                  <w:r>
                    <w:rPr>
                      <w:szCs w:val="21"/>
                    </w:rPr>
                    <w:t>《工业企业厂界环境噪声排放标准》</w:t>
                  </w:r>
                </w:p>
                <w:p>
                  <w:pPr>
                    <w:jc w:val="center"/>
                    <w:rPr>
                      <w:szCs w:val="21"/>
                    </w:rPr>
                  </w:pPr>
                  <w:r>
                    <w:rPr>
                      <w:szCs w:val="21"/>
                    </w:rPr>
                    <w:t>（</w:t>
                  </w:r>
                  <w:r>
                    <w:rPr>
                      <w:bCs/>
                      <w:szCs w:val="21"/>
                    </w:rPr>
                    <w:t>GB12348</w:t>
                  </w:r>
                  <w:r>
                    <w:rPr>
                      <w:szCs w:val="21"/>
                    </w:rPr>
                    <w:t>-</w:t>
                  </w:r>
                  <w:r>
                    <w:rPr>
                      <w:bCs/>
                      <w:szCs w:val="21"/>
                    </w:rPr>
                    <w:t>2008</w:t>
                  </w:r>
                  <w:r>
                    <w:rPr>
                      <w:szCs w:val="21"/>
                    </w:rPr>
                    <w:t>）</w:t>
                  </w:r>
                </w:p>
                <w:p>
                  <w:pPr>
                    <w:jc w:val="center"/>
                    <w:rPr>
                      <w:sz w:val="24"/>
                    </w:rPr>
                  </w:pPr>
                  <w:r>
                    <w:rPr>
                      <w:szCs w:val="21"/>
                    </w:rPr>
                    <w:t>2类</w:t>
                  </w:r>
                </w:p>
              </w:tc>
              <w:tc>
                <w:tcPr>
                  <w:tcW w:w="1980" w:type="dxa"/>
                  <w:tcBorders>
                    <w:bottom w:val="single" w:color="auto" w:sz="12" w:space="0"/>
                  </w:tcBorders>
                  <w:vAlign w:val="center"/>
                </w:tcPr>
                <w:p>
                  <w:pPr>
                    <w:rPr>
                      <w:szCs w:val="21"/>
                    </w:rPr>
                  </w:pPr>
                  <w:r>
                    <w:rPr>
                      <w:szCs w:val="21"/>
                    </w:rPr>
                    <w:t>《工业企业厂界环境噪声排放标准》2类：</w:t>
                  </w:r>
                </w:p>
                <w:p>
                  <w:pPr>
                    <w:jc w:val="center"/>
                    <w:rPr>
                      <w:szCs w:val="21"/>
                    </w:rPr>
                  </w:pPr>
                  <w:r>
                    <w:rPr>
                      <w:szCs w:val="21"/>
                    </w:rPr>
                    <w:t>昼间60dB（A）</w:t>
                  </w:r>
                </w:p>
                <w:p>
                  <w:pPr>
                    <w:jc w:val="center"/>
                    <w:rPr>
                      <w:sz w:val="24"/>
                    </w:rPr>
                  </w:pPr>
                  <w:r>
                    <w:rPr>
                      <w:szCs w:val="21"/>
                    </w:rPr>
                    <w:t>夜间50dB（A）</w:t>
                  </w:r>
                </w:p>
              </w:tc>
            </w:tr>
          </w:tbl>
          <w:p>
            <w:pPr>
              <w:spacing w:line="360" w:lineRule="auto"/>
              <w:ind w:firstLine="480" w:firstLineChars="200"/>
              <w:rPr>
                <w:sz w:val="24"/>
                <w:szCs w:val="24"/>
              </w:rPr>
            </w:pPr>
            <w:r>
              <w:rPr>
                <w:rFonts w:hint="eastAsia"/>
                <w:sz w:val="24"/>
                <w:szCs w:val="24"/>
              </w:rPr>
              <w:t>从上表可以看出，环评阶段与验收阶段所执行的声环境标准是一致的。</w:t>
            </w:r>
          </w:p>
        </w:tc>
      </w:tr>
    </w:tbl>
    <w:p>
      <w:pPr>
        <w:rPr>
          <w:b/>
          <w:sz w:val="32"/>
          <w:szCs w:val="32"/>
        </w:rPr>
        <w:sectPr>
          <w:pgSz w:w="11906" w:h="16838"/>
          <w:pgMar w:top="1440" w:right="1800" w:bottom="1440" w:left="1800" w:header="851" w:footer="992" w:gutter="0"/>
          <w:cols w:space="720" w:num="1"/>
          <w:docGrid w:type="lines" w:linePitch="312" w:charSpace="0"/>
        </w:sectPr>
      </w:pPr>
    </w:p>
    <w:p>
      <w:pPr>
        <w:pStyle w:val="2"/>
        <w:spacing w:before="0" w:after="0" w:line="360" w:lineRule="auto"/>
        <w:rPr>
          <w:rFonts w:ascii="宋体" w:hAnsi="宋体"/>
          <w:sz w:val="32"/>
          <w:szCs w:val="32"/>
        </w:rPr>
      </w:pPr>
      <w:bookmarkStart w:id="5" w:name="_Toc483476022"/>
      <w:r>
        <w:rPr>
          <w:rFonts w:hint="eastAsia" w:ascii="宋体" w:hAnsi="宋体"/>
          <w:sz w:val="32"/>
          <w:szCs w:val="32"/>
        </w:rPr>
        <w:t>表四  工程概况</w:t>
      </w:r>
      <w:bookmarkEnd w:id="5"/>
    </w:p>
    <w:tbl>
      <w:tblPr>
        <w:tblStyle w:val="17"/>
        <w:tblW w:w="908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102" w:hRule="atLeast"/>
          <w:jc w:val="center"/>
        </w:trPr>
        <w:tc>
          <w:tcPr>
            <w:tcW w:w="9089" w:type="dxa"/>
            <w:tcBorders>
              <w:top w:val="single" w:color="auto" w:sz="12" w:space="0"/>
              <w:left w:val="single" w:color="auto" w:sz="12" w:space="0"/>
              <w:bottom w:val="single" w:color="auto" w:sz="12" w:space="0"/>
              <w:right w:val="single" w:color="auto" w:sz="12" w:space="0"/>
            </w:tcBorders>
          </w:tcPr>
          <w:p>
            <w:pPr>
              <w:spacing w:line="360" w:lineRule="auto"/>
              <w:rPr>
                <w:rFonts w:hAnsi="宋体"/>
                <w:b/>
                <w:sz w:val="24"/>
                <w:szCs w:val="24"/>
              </w:rPr>
            </w:pPr>
            <w:r>
              <w:rPr>
                <w:rFonts w:hint="eastAsia" w:hAnsi="宋体"/>
                <w:b/>
                <w:sz w:val="24"/>
                <w:szCs w:val="24"/>
              </w:rPr>
              <w:t>4.1工程地理位置图</w:t>
            </w:r>
          </w:p>
          <w:p>
            <w:pPr>
              <w:pStyle w:val="21"/>
              <w:spacing w:line="360" w:lineRule="auto"/>
              <w:ind w:firstLine="480" w:firstLineChars="200"/>
              <w:rPr>
                <w:szCs w:val="24"/>
              </w:rPr>
            </w:pPr>
            <w:r>
              <w:rPr>
                <w:szCs w:val="24"/>
              </w:rPr>
              <w:t>110kV</w:t>
            </w:r>
            <w:r>
              <w:rPr>
                <w:rFonts w:hint="eastAsia"/>
                <w:szCs w:val="24"/>
              </w:rPr>
              <w:t>龙安</w:t>
            </w:r>
            <w:r>
              <w:rPr>
                <w:rFonts w:hint="eastAsia" w:ascii="宋体" w:hAnsi="宋体" w:cs="宋体"/>
                <w:szCs w:val="24"/>
              </w:rPr>
              <w:t>变电站</w:t>
            </w:r>
            <w:r>
              <w:rPr>
                <w:rFonts w:hint="eastAsia"/>
              </w:rPr>
              <w:t>位于</w:t>
            </w:r>
            <w:r>
              <w:rPr>
                <w:rFonts w:hint="eastAsia"/>
                <w:bCs/>
              </w:rPr>
              <w:t>平武县城龙安镇城郊</w:t>
            </w:r>
            <w:r>
              <w:rPr>
                <w:szCs w:val="24"/>
              </w:rPr>
              <w:t>。</w:t>
            </w:r>
          </w:p>
          <w:p>
            <w:pPr>
              <w:pStyle w:val="21"/>
              <w:spacing w:line="360" w:lineRule="auto"/>
              <w:ind w:firstLine="480" w:firstLineChars="200"/>
            </w:pPr>
            <w:r>
              <w:rPr>
                <w:rFonts w:hint="eastAsia"/>
                <w:szCs w:val="24"/>
              </w:rPr>
              <w:t>该项目</w:t>
            </w:r>
            <w:r>
              <w:rPr>
                <w:rFonts w:hint="eastAsia" w:ascii="宋体" w:hAnsi="宋体" w:cs="宋体"/>
                <w:szCs w:val="24"/>
              </w:rPr>
              <w:t>地理位置图见图</w:t>
            </w:r>
            <w:r>
              <w:rPr>
                <w:szCs w:val="24"/>
              </w:rPr>
              <w:t>4-1</w:t>
            </w:r>
            <w:r>
              <w:rPr>
                <w:rFonts w:hint="eastAsia" w:ascii="宋体" w:hAnsi="宋体" w:cs="宋体"/>
                <w:szCs w:val="24"/>
              </w:rPr>
              <w:t>。</w:t>
            </w:r>
            <w:r>
              <w:object>
                <v:shape id="_x0000_i1025" o:spt="75" type="#_x0000_t75" style="height:336.75pt;width:443.25pt;" o:ole="t" filled="f" o:preferrelative="t" stroked="f" coordsize="21600,21600">
                  <v:path/>
                  <v:fill on="f" focussize="0,0"/>
                  <v:stroke on="f" joinstyle="miter"/>
                  <v:imagedata r:id="rId9" o:title=""/>
                  <o:lock v:ext="edit" aspectratio="t"/>
                  <w10:wrap type="none"/>
                  <w10:anchorlock/>
                </v:shape>
                <o:OLEObject Type="Embed" ProgID="PBrush" ShapeID="_x0000_i1025" DrawAspect="Content" ObjectID="_1468075725" r:id="rId8">
                  <o:LockedField>false</o:LockedField>
                </o:OLEObject>
              </w:object>
            </w:r>
          </w:p>
          <w:p>
            <w:pPr>
              <w:pStyle w:val="21"/>
              <w:spacing w:line="360" w:lineRule="auto"/>
              <w:ind w:firstLine="482" w:firstLineChars="200"/>
              <w:jc w:val="center"/>
              <w:rPr>
                <w:b/>
                <w:bCs/>
                <w:szCs w:val="21"/>
              </w:rPr>
            </w:pPr>
            <w:r>
              <w:rPr>
                <w:rFonts w:hint="eastAsia"/>
                <w:b/>
                <w:bCs/>
                <w:szCs w:val="21"/>
              </w:rPr>
              <w:t>图4-1 项目地理位置图</w:t>
            </w:r>
          </w:p>
          <w:p>
            <w:pPr>
              <w:spacing w:line="360" w:lineRule="auto"/>
              <w:rPr>
                <w:rFonts w:hAnsi="宋体"/>
                <w:b/>
                <w:sz w:val="24"/>
                <w:szCs w:val="24"/>
              </w:rPr>
            </w:pPr>
            <w:r>
              <w:rPr>
                <w:rFonts w:hint="eastAsia" w:hAnsi="宋体"/>
                <w:b/>
                <w:sz w:val="24"/>
                <w:szCs w:val="24"/>
              </w:rPr>
              <w:t>4.2主要工程内容及规模</w:t>
            </w:r>
          </w:p>
          <w:p>
            <w:pPr>
              <w:spacing w:line="360" w:lineRule="auto"/>
              <w:ind w:firstLine="480" w:firstLineChars="200"/>
              <w:rPr>
                <w:sz w:val="24"/>
                <w:szCs w:val="24"/>
              </w:rPr>
            </w:pPr>
            <w:r>
              <w:rPr>
                <w:rFonts w:hint="eastAsia"/>
                <w:sz w:val="24"/>
                <w:szCs w:val="24"/>
              </w:rPr>
              <w:t>龙安110kV变电站：</w:t>
            </w:r>
            <w:r>
              <w:rPr>
                <w:sz w:val="24"/>
                <w:szCs w:val="24"/>
              </w:rPr>
              <w:t>1×50MVA、110kV出线</w:t>
            </w:r>
            <w:r>
              <w:rPr>
                <w:rFonts w:hint="eastAsia"/>
                <w:sz w:val="24"/>
                <w:szCs w:val="24"/>
              </w:rPr>
              <w:t>间隔</w:t>
            </w:r>
            <w:r>
              <w:rPr>
                <w:sz w:val="24"/>
                <w:szCs w:val="24"/>
              </w:rPr>
              <w:t>4回、35kV出线5回、10kV出线7回。</w:t>
            </w:r>
            <w:r>
              <w:rPr>
                <w:rFonts w:hint="eastAsia"/>
                <w:sz w:val="24"/>
                <w:szCs w:val="24"/>
              </w:rPr>
              <w:t>事故油池15m</w:t>
            </w:r>
            <w:r>
              <w:rPr>
                <w:rFonts w:hint="eastAsia"/>
                <w:sz w:val="24"/>
                <w:szCs w:val="24"/>
                <w:vertAlign w:val="superscript"/>
              </w:rPr>
              <w:t>3</w:t>
            </w:r>
            <w:r>
              <w:rPr>
                <w:rFonts w:hint="eastAsia"/>
                <w:sz w:val="24"/>
                <w:szCs w:val="24"/>
              </w:rPr>
              <w:t>，化粪池2m</w:t>
            </w:r>
            <w:r>
              <w:rPr>
                <w:rFonts w:hint="eastAsia"/>
                <w:sz w:val="24"/>
                <w:szCs w:val="24"/>
                <w:vertAlign w:val="superscript"/>
              </w:rPr>
              <w:t>3</w:t>
            </w:r>
            <w:r>
              <w:rPr>
                <w:rFonts w:hint="eastAsia"/>
                <w:sz w:val="24"/>
                <w:szCs w:val="24"/>
              </w:rPr>
              <w:t>利旧。</w:t>
            </w:r>
          </w:p>
          <w:p>
            <w:pPr>
              <w:spacing w:line="360" w:lineRule="auto"/>
              <w:rPr>
                <w:b/>
                <w:bCs/>
                <w:sz w:val="24"/>
                <w:szCs w:val="24"/>
              </w:rPr>
            </w:pPr>
            <w:r>
              <w:rPr>
                <w:rFonts w:hint="eastAsia"/>
                <w:b/>
                <w:bCs/>
                <w:sz w:val="24"/>
                <w:szCs w:val="24"/>
              </w:rPr>
              <w:t>4.3工程占地及总平面布置</w:t>
            </w:r>
          </w:p>
          <w:p>
            <w:pPr>
              <w:spacing w:line="360" w:lineRule="auto"/>
              <w:ind w:firstLine="482" w:firstLineChars="200"/>
              <w:rPr>
                <w:sz w:val="24"/>
                <w:szCs w:val="24"/>
              </w:rPr>
            </w:pPr>
            <w:r>
              <w:rPr>
                <w:rFonts w:hint="eastAsia"/>
                <w:b/>
                <w:bCs/>
                <w:sz w:val="24"/>
                <w:szCs w:val="24"/>
              </w:rPr>
              <w:t>1、工程占地：</w:t>
            </w:r>
          </w:p>
          <w:p>
            <w:pPr>
              <w:spacing w:line="360" w:lineRule="auto"/>
              <w:rPr>
                <w:rFonts w:ascii="宋体" w:hAnsi="宋体" w:cs="宋体"/>
                <w:sz w:val="24"/>
                <w:szCs w:val="24"/>
              </w:rPr>
            </w:pPr>
            <w:r>
              <w:rPr>
                <w:rFonts w:hint="eastAsia" w:ascii="宋体" w:hAnsi="宋体" w:cs="宋体"/>
                <w:sz w:val="24"/>
                <w:szCs w:val="24"/>
              </w:rPr>
              <w:t xml:space="preserve">   （1）变电站</w:t>
            </w:r>
          </w:p>
          <w:p>
            <w:pPr>
              <w:spacing w:line="360" w:lineRule="auto"/>
              <w:ind w:firstLine="480" w:firstLineChars="200"/>
              <w:rPr>
                <w:rFonts w:ascii="宋体" w:hAnsi="宋体" w:cs="宋体"/>
                <w:sz w:val="24"/>
                <w:szCs w:val="24"/>
              </w:rPr>
            </w:pPr>
            <w:r>
              <w:rPr>
                <w:rFonts w:hint="eastAsia" w:ascii="宋体" w:hAnsi="宋体" w:cs="宋体"/>
                <w:sz w:val="24"/>
                <w:szCs w:val="24"/>
              </w:rPr>
              <w:t>龙安</w:t>
            </w:r>
            <w:r>
              <w:rPr>
                <w:sz w:val="24"/>
                <w:szCs w:val="24"/>
              </w:rPr>
              <w:t>110kV</w:t>
            </w:r>
            <w:r>
              <w:rPr>
                <w:rFonts w:hint="eastAsia" w:ascii="宋体" w:hAnsi="宋体" w:cs="宋体"/>
                <w:sz w:val="24"/>
                <w:szCs w:val="24"/>
              </w:rPr>
              <w:t>变电站：</w:t>
            </w:r>
            <w:r>
              <w:rPr>
                <w:rFonts w:hint="eastAsia"/>
                <w:sz w:val="24"/>
                <w:szCs w:val="24"/>
              </w:rPr>
              <w:t>不新增用地。</w:t>
            </w:r>
          </w:p>
          <w:p>
            <w:pPr>
              <w:spacing w:line="360" w:lineRule="auto"/>
              <w:ind w:firstLine="482" w:firstLineChars="200"/>
              <w:rPr>
                <w:b/>
                <w:bCs/>
                <w:sz w:val="24"/>
                <w:szCs w:val="24"/>
              </w:rPr>
            </w:pPr>
            <w:r>
              <w:rPr>
                <w:rFonts w:hint="eastAsia"/>
                <w:b/>
                <w:bCs/>
                <w:sz w:val="24"/>
                <w:szCs w:val="24"/>
              </w:rPr>
              <w:t>2、总平面布置：</w:t>
            </w:r>
          </w:p>
          <w:p>
            <w:pPr>
              <w:spacing w:line="360" w:lineRule="auto"/>
              <w:ind w:firstLine="432" w:firstLineChars="180"/>
              <w:rPr>
                <w:spacing w:val="-4"/>
                <w:sz w:val="24"/>
                <w:szCs w:val="24"/>
              </w:rPr>
            </w:pPr>
            <w:r>
              <w:rPr>
                <w:rFonts w:hint="eastAsia"/>
                <w:sz w:val="24"/>
                <w:szCs w:val="24"/>
              </w:rPr>
              <w:t>龙安110kV变电站</w:t>
            </w:r>
            <w:r>
              <w:rPr>
                <w:sz w:val="24"/>
                <w:szCs w:val="24"/>
              </w:rPr>
              <w:t>站界长</w:t>
            </w:r>
            <w:r>
              <w:rPr>
                <w:rFonts w:hint="eastAsia"/>
                <w:sz w:val="24"/>
                <w:szCs w:val="24"/>
              </w:rPr>
              <w:t>85</w:t>
            </w:r>
            <w:r>
              <w:rPr>
                <w:sz w:val="24"/>
                <w:szCs w:val="24"/>
              </w:rPr>
              <w:t>m，宽</w:t>
            </w:r>
            <w:r>
              <w:rPr>
                <w:rFonts w:hint="eastAsia"/>
                <w:sz w:val="24"/>
                <w:szCs w:val="24"/>
              </w:rPr>
              <w:t>56.5</w:t>
            </w:r>
            <w:r>
              <w:rPr>
                <w:sz w:val="24"/>
                <w:szCs w:val="24"/>
              </w:rPr>
              <w:t>m</w:t>
            </w:r>
            <w:r>
              <w:rPr>
                <w:rFonts w:hint="eastAsia"/>
                <w:sz w:val="24"/>
                <w:szCs w:val="24"/>
              </w:rPr>
              <w:t>，主变</w:t>
            </w:r>
            <w:r>
              <w:rPr>
                <w:sz w:val="24"/>
                <w:szCs w:val="24"/>
              </w:rPr>
              <w:t>户</w:t>
            </w:r>
            <w:r>
              <w:rPr>
                <w:rFonts w:hint="eastAsia"/>
                <w:sz w:val="24"/>
                <w:szCs w:val="24"/>
              </w:rPr>
              <w:t>外</w:t>
            </w:r>
            <w:r>
              <w:rPr>
                <w:sz w:val="24"/>
                <w:szCs w:val="24"/>
              </w:rPr>
              <w:t>布置，</w:t>
            </w:r>
            <w:r>
              <w:rPr>
                <w:rFonts w:hint="eastAsia"/>
                <w:sz w:val="24"/>
                <w:szCs w:val="24"/>
              </w:rPr>
              <w:t>110kV配电装置采用户外GIS布置，35kV、10kV配电装置采用户内布置。主变压器配电装置布置于站址中部，110kV 配电装置采用户外软母线普通中型布置，设置于站址北侧，1</w:t>
            </w:r>
            <w:r>
              <w:rPr>
                <w:sz w:val="24"/>
                <w:szCs w:val="24"/>
              </w:rPr>
              <w:t>10kV架空向</w:t>
            </w:r>
            <w:r>
              <w:rPr>
                <w:rFonts w:hint="eastAsia"/>
                <w:sz w:val="24"/>
                <w:szCs w:val="24"/>
              </w:rPr>
              <w:t>北出</w:t>
            </w:r>
            <w:r>
              <w:rPr>
                <w:sz w:val="24"/>
                <w:szCs w:val="24"/>
              </w:rPr>
              <w:t>线。</w:t>
            </w:r>
            <w:r>
              <w:rPr>
                <w:rFonts w:hint="eastAsia"/>
                <w:sz w:val="24"/>
                <w:szCs w:val="24"/>
              </w:rPr>
              <w:t>35kV 配电室位于站区西侧，10kV配电装置室位于站区南侧。35kV架空向西侧出线，10kV采用电缆向南出线，电缆沟布置于站址南侧，从10</w:t>
            </w:r>
            <w:r>
              <w:rPr>
                <w:sz w:val="24"/>
                <w:szCs w:val="24"/>
              </w:rPr>
              <w:t>kV配电室通往站外</w:t>
            </w:r>
            <w:r>
              <w:rPr>
                <w:rFonts w:hint="eastAsia"/>
                <w:sz w:val="24"/>
                <w:szCs w:val="24"/>
              </w:rPr>
              <w:t>。</w:t>
            </w:r>
            <w:r>
              <w:rPr>
                <w:sz w:val="24"/>
                <w:szCs w:val="24"/>
              </w:rPr>
              <w:t>事故油池位于主变</w:t>
            </w:r>
            <w:r>
              <w:rPr>
                <w:rFonts w:hint="eastAsia"/>
                <w:sz w:val="24"/>
                <w:szCs w:val="24"/>
              </w:rPr>
              <w:t>西侧</w:t>
            </w:r>
            <w:r>
              <w:rPr>
                <w:sz w:val="24"/>
                <w:szCs w:val="24"/>
              </w:rPr>
              <w:t>，方便事故废油的收集。化粪池位于中控室的</w:t>
            </w:r>
            <w:r>
              <w:rPr>
                <w:rFonts w:hint="eastAsia"/>
                <w:sz w:val="24"/>
                <w:szCs w:val="24"/>
              </w:rPr>
              <w:t>西北</w:t>
            </w:r>
            <w:r>
              <w:rPr>
                <w:sz w:val="24"/>
                <w:szCs w:val="24"/>
              </w:rPr>
              <w:t>角，方便生活污水的收集。变电站的大门位于站界</w:t>
            </w:r>
            <w:r>
              <w:rPr>
                <w:rFonts w:hint="eastAsia"/>
                <w:sz w:val="24"/>
                <w:szCs w:val="24"/>
              </w:rPr>
              <w:t>西北</w:t>
            </w:r>
            <w:r>
              <w:rPr>
                <w:sz w:val="24"/>
                <w:szCs w:val="24"/>
              </w:rPr>
              <w:t>侧</w:t>
            </w:r>
            <w:r>
              <w:rPr>
                <w:rFonts w:hint="eastAsia"/>
                <w:sz w:val="24"/>
                <w:szCs w:val="24"/>
              </w:rPr>
              <w:t>，龙安110kV 变电站平面布置图见附图。</w:t>
            </w:r>
          </w:p>
          <w:p>
            <w:pPr>
              <w:spacing w:line="360" w:lineRule="auto"/>
              <w:rPr>
                <w:spacing w:val="-4"/>
                <w:sz w:val="24"/>
                <w:szCs w:val="24"/>
              </w:rPr>
            </w:pPr>
            <w:r>
              <w:rPr>
                <w:rFonts w:hint="eastAsia"/>
                <w:b/>
                <w:bCs/>
                <w:spacing w:val="-4"/>
                <w:sz w:val="24"/>
                <w:szCs w:val="24"/>
              </w:rPr>
              <w:t>4.4工程环境保护投资</w:t>
            </w:r>
          </w:p>
          <w:p>
            <w:pPr>
              <w:spacing w:line="360" w:lineRule="auto"/>
              <w:rPr>
                <w:sz w:val="24"/>
                <w:szCs w:val="24"/>
              </w:rPr>
            </w:pPr>
            <w:r>
              <w:rPr>
                <w:sz w:val="24"/>
                <w:szCs w:val="24"/>
              </w:rPr>
              <w:t>本输变电项目静态总投资为</w:t>
            </w:r>
            <w:r>
              <w:rPr>
                <w:rFonts w:hint="eastAsia"/>
                <w:sz w:val="24"/>
                <w:szCs w:val="24"/>
              </w:rPr>
              <w:t>1380</w:t>
            </w:r>
            <w:r>
              <w:rPr>
                <w:sz w:val="24"/>
                <w:szCs w:val="24"/>
              </w:rPr>
              <w:t>万元，其中环保投资共计</w:t>
            </w:r>
            <w:r>
              <w:rPr>
                <w:rFonts w:hint="eastAsia"/>
                <w:sz w:val="24"/>
                <w:szCs w:val="24"/>
              </w:rPr>
              <w:t>9.5</w:t>
            </w:r>
            <w:r>
              <w:rPr>
                <w:sz w:val="24"/>
                <w:szCs w:val="24"/>
              </w:rPr>
              <w:t>万元，占项目总投资的</w:t>
            </w:r>
            <w:r>
              <w:rPr>
                <w:rFonts w:hint="eastAsia"/>
                <w:sz w:val="24"/>
                <w:szCs w:val="24"/>
              </w:rPr>
              <w:t>0.68%</w:t>
            </w:r>
            <w:r>
              <w:rPr>
                <w:sz w:val="24"/>
                <w:szCs w:val="24"/>
              </w:rPr>
              <w:t>。</w:t>
            </w:r>
          </w:p>
          <w:p>
            <w:pPr>
              <w:spacing w:line="360" w:lineRule="auto"/>
              <w:jc w:val="center"/>
              <w:rPr>
                <w:sz w:val="24"/>
                <w:szCs w:val="24"/>
              </w:rPr>
            </w:pPr>
            <w:r>
              <w:rPr>
                <w:rFonts w:hint="eastAsia"/>
                <w:b/>
                <w:bCs/>
                <w:sz w:val="24"/>
                <w:szCs w:val="24"/>
              </w:rPr>
              <w:t>表4-1 环保投资对照表</w:t>
            </w:r>
          </w:p>
          <w:tbl>
            <w:tblPr>
              <w:tblStyle w:val="17"/>
              <w:tblW w:w="8697" w:type="dxa"/>
              <w:tblInd w:w="0" w:type="dxa"/>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560"/>
              <w:gridCol w:w="3432"/>
              <w:gridCol w:w="1855"/>
              <w:gridCol w:w="1850"/>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18" w:hRule="atLeast"/>
              </w:trPr>
              <w:tc>
                <w:tcPr>
                  <w:tcW w:w="1560" w:type="dxa"/>
                  <w:tcBorders>
                    <w:top w:val="single" w:color="auto" w:sz="12" w:space="0"/>
                    <w:bottom w:val="single" w:color="auto" w:sz="12" w:space="0"/>
                  </w:tcBorders>
                  <w:vAlign w:val="center"/>
                </w:tcPr>
                <w:p>
                  <w:pPr>
                    <w:spacing w:line="440" w:lineRule="exact"/>
                    <w:jc w:val="center"/>
                    <w:rPr>
                      <w:caps/>
                      <w:szCs w:val="21"/>
                    </w:rPr>
                  </w:pPr>
                  <w:r>
                    <w:rPr>
                      <w:caps/>
                      <w:szCs w:val="21"/>
                    </w:rPr>
                    <w:t>项    目</w:t>
                  </w:r>
                </w:p>
              </w:tc>
              <w:tc>
                <w:tcPr>
                  <w:tcW w:w="3432" w:type="dxa"/>
                  <w:tcBorders>
                    <w:top w:val="single" w:color="auto" w:sz="12" w:space="0"/>
                    <w:bottom w:val="single" w:color="auto" w:sz="12" w:space="0"/>
                  </w:tcBorders>
                  <w:vAlign w:val="center"/>
                </w:tcPr>
                <w:p>
                  <w:pPr>
                    <w:spacing w:line="440" w:lineRule="exact"/>
                    <w:jc w:val="center"/>
                    <w:rPr>
                      <w:caps/>
                      <w:szCs w:val="21"/>
                    </w:rPr>
                  </w:pPr>
                  <w:r>
                    <w:rPr>
                      <w:caps/>
                      <w:szCs w:val="21"/>
                    </w:rPr>
                    <w:t>内容</w:t>
                  </w:r>
                </w:p>
              </w:tc>
              <w:tc>
                <w:tcPr>
                  <w:tcW w:w="1855" w:type="dxa"/>
                  <w:tcBorders>
                    <w:top w:val="single" w:color="auto" w:sz="12" w:space="0"/>
                    <w:bottom w:val="single" w:color="auto" w:sz="12" w:space="0"/>
                  </w:tcBorders>
                  <w:vAlign w:val="center"/>
                </w:tcPr>
                <w:p>
                  <w:pPr>
                    <w:spacing w:line="440" w:lineRule="exact"/>
                    <w:jc w:val="center"/>
                  </w:pPr>
                  <w:r>
                    <w:rPr>
                      <w:rFonts w:hint="eastAsia"/>
                      <w:caps/>
                      <w:szCs w:val="21"/>
                    </w:rPr>
                    <w:t>环评</w:t>
                  </w:r>
                  <w:r>
                    <w:rPr>
                      <w:caps/>
                      <w:szCs w:val="21"/>
                    </w:rPr>
                    <w:t>投资（万元）</w:t>
                  </w:r>
                </w:p>
              </w:tc>
              <w:tc>
                <w:tcPr>
                  <w:tcW w:w="1850" w:type="dxa"/>
                  <w:tcBorders>
                    <w:top w:val="single" w:color="auto" w:sz="12" w:space="0"/>
                    <w:bottom w:val="single" w:color="auto" w:sz="12" w:space="0"/>
                  </w:tcBorders>
                  <w:vAlign w:val="center"/>
                </w:tcPr>
                <w:p>
                  <w:pPr>
                    <w:spacing w:line="440" w:lineRule="exact"/>
                    <w:jc w:val="center"/>
                    <w:rPr>
                      <w:caps/>
                      <w:szCs w:val="21"/>
                    </w:rPr>
                  </w:pPr>
                  <w:r>
                    <w:rPr>
                      <w:rFonts w:hint="eastAsia"/>
                      <w:caps/>
                      <w:szCs w:val="21"/>
                    </w:rPr>
                    <w:t>实际</w:t>
                  </w:r>
                  <w:r>
                    <w:rPr>
                      <w:caps/>
                      <w:szCs w:val="21"/>
                    </w:rPr>
                    <w:t>投资（万元）</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58" w:hRule="atLeast"/>
              </w:trPr>
              <w:tc>
                <w:tcPr>
                  <w:tcW w:w="8697" w:type="dxa"/>
                  <w:gridSpan w:val="4"/>
                  <w:tcBorders>
                    <w:top w:val="single" w:color="auto" w:sz="12" w:space="0"/>
                  </w:tcBorders>
                  <w:vAlign w:val="center"/>
                </w:tcPr>
                <w:p>
                  <w:pPr>
                    <w:spacing w:line="440" w:lineRule="exact"/>
                    <w:jc w:val="center"/>
                    <w:rPr>
                      <w:caps/>
                      <w:szCs w:val="21"/>
                    </w:rPr>
                  </w:pPr>
                  <w:r>
                    <w:rPr>
                      <w:caps/>
                      <w:szCs w:val="21"/>
                    </w:rPr>
                    <w:t>施工期</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87" w:hRule="atLeast"/>
              </w:trPr>
              <w:tc>
                <w:tcPr>
                  <w:tcW w:w="1560" w:type="dxa"/>
                  <w:vAlign w:val="center"/>
                </w:tcPr>
                <w:p>
                  <w:pPr>
                    <w:spacing w:line="440" w:lineRule="exact"/>
                    <w:jc w:val="center"/>
                    <w:rPr>
                      <w:caps/>
                      <w:szCs w:val="21"/>
                    </w:rPr>
                  </w:pPr>
                  <w:r>
                    <w:rPr>
                      <w:caps/>
                      <w:szCs w:val="21"/>
                    </w:rPr>
                    <w:t>生态</w:t>
                  </w:r>
                </w:p>
                <w:p>
                  <w:pPr>
                    <w:spacing w:line="440" w:lineRule="exact"/>
                    <w:jc w:val="center"/>
                    <w:rPr>
                      <w:caps/>
                      <w:szCs w:val="21"/>
                    </w:rPr>
                  </w:pPr>
                  <w:r>
                    <w:rPr>
                      <w:caps/>
                      <w:szCs w:val="21"/>
                    </w:rPr>
                    <w:t>保护措施</w:t>
                  </w:r>
                </w:p>
              </w:tc>
              <w:tc>
                <w:tcPr>
                  <w:tcW w:w="3432" w:type="dxa"/>
                  <w:vAlign w:val="center"/>
                </w:tcPr>
                <w:p>
                  <w:pPr>
                    <w:spacing w:line="440" w:lineRule="exact"/>
                    <w:jc w:val="center"/>
                    <w:rPr>
                      <w:szCs w:val="21"/>
                    </w:rPr>
                  </w:pPr>
                  <w:r>
                    <w:rPr>
                      <w:szCs w:val="21"/>
                    </w:rPr>
                    <w:t>树木赔偿费等</w:t>
                  </w:r>
                </w:p>
              </w:tc>
              <w:tc>
                <w:tcPr>
                  <w:tcW w:w="1855" w:type="dxa"/>
                  <w:vAlign w:val="center"/>
                </w:tcPr>
                <w:p>
                  <w:pPr>
                    <w:spacing w:line="440" w:lineRule="exact"/>
                    <w:jc w:val="center"/>
                  </w:pPr>
                  <w:r>
                    <w:rPr>
                      <w:rFonts w:hint="eastAsia"/>
                      <w:szCs w:val="21"/>
                    </w:rPr>
                    <w:t>1</w:t>
                  </w:r>
                </w:p>
              </w:tc>
              <w:tc>
                <w:tcPr>
                  <w:tcW w:w="1850" w:type="dxa"/>
                  <w:vAlign w:val="center"/>
                </w:tcPr>
                <w:p>
                  <w:pPr>
                    <w:spacing w:line="440" w:lineRule="exact"/>
                    <w:jc w:val="center"/>
                    <w:rPr>
                      <w:szCs w:val="21"/>
                    </w:rPr>
                  </w:pPr>
                  <w:r>
                    <w:rPr>
                      <w:rFonts w:hint="eastAsia"/>
                      <w:szCs w:val="21"/>
                    </w:rPr>
                    <w:t>1</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18" w:hRule="atLeast"/>
              </w:trPr>
              <w:tc>
                <w:tcPr>
                  <w:tcW w:w="1560" w:type="dxa"/>
                  <w:vAlign w:val="center"/>
                </w:tcPr>
                <w:p>
                  <w:pPr>
                    <w:spacing w:line="440" w:lineRule="exact"/>
                    <w:jc w:val="center"/>
                    <w:rPr>
                      <w:caps/>
                      <w:szCs w:val="21"/>
                    </w:rPr>
                  </w:pPr>
                  <w:r>
                    <w:rPr>
                      <w:rFonts w:hint="eastAsia"/>
                      <w:caps/>
                      <w:szCs w:val="21"/>
                    </w:rPr>
                    <w:t>水保措施</w:t>
                  </w:r>
                </w:p>
              </w:tc>
              <w:tc>
                <w:tcPr>
                  <w:tcW w:w="3432" w:type="dxa"/>
                  <w:vAlign w:val="center"/>
                </w:tcPr>
                <w:p>
                  <w:pPr>
                    <w:spacing w:line="440" w:lineRule="exact"/>
                    <w:jc w:val="center"/>
                    <w:rPr>
                      <w:szCs w:val="21"/>
                    </w:rPr>
                  </w:pPr>
                  <w:r>
                    <w:rPr>
                      <w:rFonts w:hint="eastAsia"/>
                      <w:szCs w:val="21"/>
                    </w:rPr>
                    <w:t>施工废水、生活污水处理</w:t>
                  </w:r>
                </w:p>
              </w:tc>
              <w:tc>
                <w:tcPr>
                  <w:tcW w:w="1855" w:type="dxa"/>
                  <w:vAlign w:val="center"/>
                </w:tcPr>
                <w:p>
                  <w:pPr>
                    <w:spacing w:line="440" w:lineRule="exact"/>
                    <w:jc w:val="center"/>
                  </w:pPr>
                  <w:r>
                    <w:rPr>
                      <w:rFonts w:hint="eastAsia"/>
                      <w:szCs w:val="21"/>
                    </w:rPr>
                    <w:t>1</w:t>
                  </w:r>
                </w:p>
              </w:tc>
              <w:tc>
                <w:tcPr>
                  <w:tcW w:w="1850" w:type="dxa"/>
                  <w:vAlign w:val="center"/>
                </w:tcPr>
                <w:p>
                  <w:pPr>
                    <w:spacing w:line="440" w:lineRule="exact"/>
                    <w:jc w:val="center"/>
                    <w:rPr>
                      <w:szCs w:val="21"/>
                    </w:rPr>
                  </w:pPr>
                  <w:r>
                    <w:rPr>
                      <w:rFonts w:hint="eastAsia"/>
                      <w:szCs w:val="21"/>
                    </w:rPr>
                    <w:t>1</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18" w:hRule="atLeast"/>
              </w:trPr>
              <w:tc>
                <w:tcPr>
                  <w:tcW w:w="1560" w:type="dxa"/>
                  <w:vAlign w:val="center"/>
                </w:tcPr>
                <w:p>
                  <w:pPr>
                    <w:spacing w:line="440" w:lineRule="exact"/>
                    <w:jc w:val="center"/>
                    <w:rPr>
                      <w:caps/>
                      <w:szCs w:val="21"/>
                    </w:rPr>
                  </w:pPr>
                  <w:r>
                    <w:rPr>
                      <w:caps/>
                      <w:szCs w:val="21"/>
                    </w:rPr>
                    <w:t>小计</w:t>
                  </w:r>
                </w:p>
              </w:tc>
              <w:tc>
                <w:tcPr>
                  <w:tcW w:w="3432" w:type="dxa"/>
                  <w:vAlign w:val="center"/>
                </w:tcPr>
                <w:p>
                  <w:pPr>
                    <w:spacing w:line="440" w:lineRule="exact"/>
                    <w:jc w:val="center"/>
                    <w:rPr>
                      <w:szCs w:val="21"/>
                    </w:rPr>
                  </w:pPr>
                  <w:r>
                    <w:rPr>
                      <w:szCs w:val="21"/>
                    </w:rPr>
                    <w:t>——</w:t>
                  </w:r>
                </w:p>
              </w:tc>
              <w:tc>
                <w:tcPr>
                  <w:tcW w:w="1855" w:type="dxa"/>
                  <w:vAlign w:val="center"/>
                </w:tcPr>
                <w:p>
                  <w:pPr>
                    <w:spacing w:line="440" w:lineRule="exact"/>
                    <w:jc w:val="center"/>
                  </w:pPr>
                  <w:r>
                    <w:rPr>
                      <w:rFonts w:hint="eastAsia"/>
                      <w:szCs w:val="21"/>
                    </w:rPr>
                    <w:t>2</w:t>
                  </w:r>
                </w:p>
              </w:tc>
              <w:tc>
                <w:tcPr>
                  <w:tcW w:w="1850" w:type="dxa"/>
                  <w:vAlign w:val="center"/>
                </w:tcPr>
                <w:p>
                  <w:pPr>
                    <w:spacing w:line="440" w:lineRule="exact"/>
                    <w:jc w:val="center"/>
                    <w:rPr>
                      <w:szCs w:val="21"/>
                    </w:rPr>
                  </w:pPr>
                  <w:r>
                    <w:rPr>
                      <w:rFonts w:hint="eastAsia"/>
                      <w:szCs w:val="21"/>
                    </w:rPr>
                    <w:t>2</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84" w:hRule="atLeast"/>
              </w:trPr>
              <w:tc>
                <w:tcPr>
                  <w:tcW w:w="8697" w:type="dxa"/>
                  <w:gridSpan w:val="4"/>
                  <w:vAlign w:val="center"/>
                </w:tcPr>
                <w:p>
                  <w:pPr>
                    <w:spacing w:line="440" w:lineRule="exact"/>
                    <w:jc w:val="center"/>
                    <w:rPr>
                      <w:caps/>
                      <w:szCs w:val="21"/>
                    </w:rPr>
                  </w:pPr>
                  <w:r>
                    <w:rPr>
                      <w:caps/>
                      <w:szCs w:val="21"/>
                    </w:rPr>
                    <w:t>运营期</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78" w:hRule="atLeast"/>
              </w:trPr>
              <w:tc>
                <w:tcPr>
                  <w:tcW w:w="1560" w:type="dxa"/>
                  <w:vMerge w:val="restart"/>
                  <w:vAlign w:val="center"/>
                </w:tcPr>
                <w:p>
                  <w:pPr>
                    <w:spacing w:line="440" w:lineRule="exact"/>
                    <w:jc w:val="center"/>
                    <w:rPr>
                      <w:caps/>
                      <w:szCs w:val="21"/>
                    </w:rPr>
                  </w:pPr>
                  <w:r>
                    <w:rPr>
                      <w:caps/>
                      <w:szCs w:val="21"/>
                    </w:rPr>
                    <w:t>废水治理</w:t>
                  </w:r>
                </w:p>
              </w:tc>
              <w:tc>
                <w:tcPr>
                  <w:tcW w:w="3432" w:type="dxa"/>
                  <w:vAlign w:val="center"/>
                </w:tcPr>
                <w:p>
                  <w:pPr>
                    <w:spacing w:line="440" w:lineRule="exact"/>
                    <w:jc w:val="center"/>
                    <w:rPr>
                      <w:caps/>
                      <w:szCs w:val="21"/>
                    </w:rPr>
                  </w:pPr>
                  <w:r>
                    <w:rPr>
                      <w:szCs w:val="21"/>
                    </w:rPr>
                    <w:t>变电站事故油池（15m</w:t>
                  </w:r>
                  <w:r>
                    <w:rPr>
                      <w:szCs w:val="21"/>
                      <w:vertAlign w:val="superscript"/>
                    </w:rPr>
                    <w:t>3</w:t>
                  </w:r>
                  <w:r>
                    <w:rPr>
                      <w:szCs w:val="21"/>
                    </w:rPr>
                    <w:t>）</w:t>
                  </w:r>
                </w:p>
              </w:tc>
              <w:tc>
                <w:tcPr>
                  <w:tcW w:w="1855" w:type="dxa"/>
                  <w:vAlign w:val="center"/>
                </w:tcPr>
                <w:p>
                  <w:pPr>
                    <w:spacing w:line="440" w:lineRule="exact"/>
                    <w:jc w:val="center"/>
                  </w:pPr>
                  <w:r>
                    <w:rPr>
                      <w:rFonts w:hint="eastAsia"/>
                      <w:caps/>
                      <w:szCs w:val="21"/>
                    </w:rPr>
                    <w:t>3</w:t>
                  </w:r>
                </w:p>
              </w:tc>
              <w:tc>
                <w:tcPr>
                  <w:tcW w:w="1850" w:type="dxa"/>
                  <w:vAlign w:val="center"/>
                </w:tcPr>
                <w:p>
                  <w:pPr>
                    <w:spacing w:line="440" w:lineRule="exact"/>
                    <w:jc w:val="center"/>
                    <w:rPr>
                      <w:caps/>
                      <w:szCs w:val="21"/>
                    </w:rPr>
                  </w:pPr>
                  <w:r>
                    <w:rPr>
                      <w:rFonts w:hint="eastAsia"/>
                      <w:caps/>
                      <w:szCs w:val="21"/>
                    </w:rPr>
                    <w:t>3</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26" w:hRule="atLeast"/>
              </w:trPr>
              <w:tc>
                <w:tcPr>
                  <w:tcW w:w="1560" w:type="dxa"/>
                  <w:vMerge w:val="continue"/>
                  <w:vAlign w:val="center"/>
                </w:tcPr>
                <w:p>
                  <w:pPr>
                    <w:spacing w:line="440" w:lineRule="exact"/>
                    <w:jc w:val="center"/>
                    <w:rPr>
                      <w:caps/>
                      <w:szCs w:val="21"/>
                    </w:rPr>
                  </w:pPr>
                </w:p>
              </w:tc>
              <w:tc>
                <w:tcPr>
                  <w:tcW w:w="3432" w:type="dxa"/>
                  <w:vAlign w:val="center"/>
                </w:tcPr>
                <w:p>
                  <w:pPr>
                    <w:spacing w:line="440" w:lineRule="exact"/>
                    <w:jc w:val="center"/>
                    <w:rPr>
                      <w:caps/>
                      <w:szCs w:val="21"/>
                    </w:rPr>
                  </w:pPr>
                  <w:r>
                    <w:rPr>
                      <w:szCs w:val="21"/>
                    </w:rPr>
                    <w:t>变电站化粪池（2m</w:t>
                  </w:r>
                  <w:r>
                    <w:rPr>
                      <w:szCs w:val="21"/>
                      <w:vertAlign w:val="superscript"/>
                    </w:rPr>
                    <w:t>3</w:t>
                  </w:r>
                  <w:r>
                    <w:rPr>
                      <w:szCs w:val="21"/>
                    </w:rPr>
                    <w:t>）</w:t>
                  </w:r>
                </w:p>
              </w:tc>
              <w:tc>
                <w:tcPr>
                  <w:tcW w:w="1855" w:type="dxa"/>
                  <w:vAlign w:val="center"/>
                </w:tcPr>
                <w:p>
                  <w:pPr>
                    <w:spacing w:line="440" w:lineRule="exact"/>
                    <w:jc w:val="center"/>
                  </w:pPr>
                  <w:r>
                    <w:rPr>
                      <w:rFonts w:hint="eastAsia"/>
                      <w:caps/>
                      <w:szCs w:val="21"/>
                    </w:rPr>
                    <w:t>1</w:t>
                  </w:r>
                </w:p>
              </w:tc>
              <w:tc>
                <w:tcPr>
                  <w:tcW w:w="1850" w:type="dxa"/>
                  <w:vAlign w:val="center"/>
                </w:tcPr>
                <w:p>
                  <w:pPr>
                    <w:spacing w:line="440" w:lineRule="exact"/>
                    <w:jc w:val="center"/>
                    <w:rPr>
                      <w:caps/>
                      <w:szCs w:val="21"/>
                    </w:rPr>
                  </w:pPr>
                  <w:r>
                    <w:rPr>
                      <w:rFonts w:hint="eastAsia"/>
                      <w:caps/>
                      <w:szCs w:val="21"/>
                    </w:rPr>
                    <w:t>2</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52" w:hRule="atLeast"/>
              </w:trPr>
              <w:tc>
                <w:tcPr>
                  <w:tcW w:w="1560" w:type="dxa"/>
                  <w:vAlign w:val="center"/>
                </w:tcPr>
                <w:p>
                  <w:pPr>
                    <w:spacing w:line="440" w:lineRule="exact"/>
                    <w:jc w:val="center"/>
                    <w:rPr>
                      <w:szCs w:val="21"/>
                    </w:rPr>
                  </w:pPr>
                  <w:r>
                    <w:rPr>
                      <w:szCs w:val="21"/>
                    </w:rPr>
                    <w:t>固体废物处置</w:t>
                  </w:r>
                </w:p>
              </w:tc>
              <w:tc>
                <w:tcPr>
                  <w:tcW w:w="3432" w:type="dxa"/>
                  <w:vAlign w:val="center"/>
                </w:tcPr>
                <w:p>
                  <w:pPr>
                    <w:spacing w:line="440" w:lineRule="exact"/>
                    <w:jc w:val="center"/>
                    <w:rPr>
                      <w:szCs w:val="21"/>
                    </w:rPr>
                  </w:pPr>
                  <w:r>
                    <w:rPr>
                      <w:rFonts w:hint="eastAsia"/>
                      <w:szCs w:val="21"/>
                    </w:rPr>
                    <w:t>生活垃圾处理</w:t>
                  </w:r>
                </w:p>
              </w:tc>
              <w:tc>
                <w:tcPr>
                  <w:tcW w:w="1855" w:type="dxa"/>
                  <w:vAlign w:val="center"/>
                </w:tcPr>
                <w:p>
                  <w:pPr>
                    <w:spacing w:line="440" w:lineRule="exact"/>
                    <w:jc w:val="center"/>
                  </w:pPr>
                  <w:r>
                    <w:rPr>
                      <w:rFonts w:hint="eastAsia"/>
                      <w:szCs w:val="21"/>
                    </w:rPr>
                    <w:t>3</w:t>
                  </w:r>
                </w:p>
              </w:tc>
              <w:tc>
                <w:tcPr>
                  <w:tcW w:w="1850" w:type="dxa"/>
                  <w:vAlign w:val="center"/>
                </w:tcPr>
                <w:p>
                  <w:pPr>
                    <w:spacing w:line="440" w:lineRule="exact"/>
                    <w:jc w:val="center"/>
                    <w:rPr>
                      <w:szCs w:val="21"/>
                    </w:rPr>
                  </w:pPr>
                  <w:r>
                    <w:rPr>
                      <w:rFonts w:hint="eastAsia"/>
                      <w:szCs w:val="21"/>
                    </w:rPr>
                    <w:t>2</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Pr>
              <w:tc>
                <w:tcPr>
                  <w:tcW w:w="1560" w:type="dxa"/>
                  <w:vAlign w:val="center"/>
                </w:tcPr>
                <w:p>
                  <w:pPr>
                    <w:spacing w:line="440" w:lineRule="exact"/>
                    <w:jc w:val="center"/>
                    <w:rPr>
                      <w:szCs w:val="21"/>
                    </w:rPr>
                  </w:pPr>
                  <w:r>
                    <w:rPr>
                      <w:szCs w:val="21"/>
                    </w:rPr>
                    <w:t>植被恢复</w:t>
                  </w:r>
                </w:p>
              </w:tc>
              <w:tc>
                <w:tcPr>
                  <w:tcW w:w="3432" w:type="dxa"/>
                  <w:vAlign w:val="center"/>
                </w:tcPr>
                <w:p>
                  <w:pPr>
                    <w:spacing w:line="440" w:lineRule="exact"/>
                    <w:jc w:val="center"/>
                    <w:rPr>
                      <w:szCs w:val="21"/>
                    </w:rPr>
                  </w:pPr>
                  <w:r>
                    <w:rPr>
                      <w:szCs w:val="21"/>
                    </w:rPr>
                    <w:t>站区种草</w:t>
                  </w:r>
                </w:p>
              </w:tc>
              <w:tc>
                <w:tcPr>
                  <w:tcW w:w="1855" w:type="dxa"/>
                  <w:vAlign w:val="center"/>
                </w:tcPr>
                <w:p>
                  <w:pPr>
                    <w:spacing w:line="440" w:lineRule="exact"/>
                    <w:jc w:val="center"/>
                  </w:pPr>
                  <w:r>
                    <w:rPr>
                      <w:rFonts w:hint="eastAsia"/>
                      <w:szCs w:val="21"/>
                    </w:rPr>
                    <w:t>0.5</w:t>
                  </w:r>
                </w:p>
              </w:tc>
              <w:tc>
                <w:tcPr>
                  <w:tcW w:w="1850" w:type="dxa"/>
                  <w:vAlign w:val="center"/>
                </w:tcPr>
                <w:p>
                  <w:pPr>
                    <w:spacing w:line="440" w:lineRule="exact"/>
                    <w:jc w:val="center"/>
                    <w:rPr>
                      <w:szCs w:val="21"/>
                    </w:rPr>
                  </w:pPr>
                  <w:r>
                    <w:rPr>
                      <w:rFonts w:hint="eastAsia"/>
                      <w:szCs w:val="21"/>
                    </w:rPr>
                    <w:t>0.5</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Pr>
              <w:tc>
                <w:tcPr>
                  <w:tcW w:w="1560" w:type="dxa"/>
                  <w:vAlign w:val="center"/>
                </w:tcPr>
                <w:p>
                  <w:pPr>
                    <w:spacing w:line="440" w:lineRule="exact"/>
                    <w:jc w:val="center"/>
                    <w:rPr>
                      <w:szCs w:val="21"/>
                    </w:rPr>
                  </w:pPr>
                  <w:r>
                    <w:rPr>
                      <w:szCs w:val="21"/>
                    </w:rPr>
                    <w:t>小计</w:t>
                  </w:r>
                </w:p>
              </w:tc>
              <w:tc>
                <w:tcPr>
                  <w:tcW w:w="3432" w:type="dxa"/>
                  <w:vAlign w:val="center"/>
                </w:tcPr>
                <w:p>
                  <w:pPr>
                    <w:spacing w:line="440" w:lineRule="exact"/>
                    <w:jc w:val="center"/>
                    <w:rPr>
                      <w:szCs w:val="21"/>
                    </w:rPr>
                  </w:pPr>
                  <w:r>
                    <w:rPr>
                      <w:szCs w:val="21"/>
                    </w:rPr>
                    <w:t>——</w:t>
                  </w:r>
                </w:p>
              </w:tc>
              <w:tc>
                <w:tcPr>
                  <w:tcW w:w="1855" w:type="dxa"/>
                  <w:vAlign w:val="center"/>
                </w:tcPr>
                <w:p>
                  <w:pPr>
                    <w:spacing w:line="440" w:lineRule="exact"/>
                    <w:jc w:val="center"/>
                  </w:pPr>
                  <w:r>
                    <w:rPr>
                      <w:rFonts w:hint="eastAsia"/>
                      <w:szCs w:val="21"/>
                    </w:rPr>
                    <w:t>7.5</w:t>
                  </w:r>
                </w:p>
              </w:tc>
              <w:tc>
                <w:tcPr>
                  <w:tcW w:w="1850" w:type="dxa"/>
                  <w:vAlign w:val="center"/>
                </w:tcPr>
                <w:p>
                  <w:pPr>
                    <w:spacing w:line="440" w:lineRule="exact"/>
                    <w:jc w:val="center"/>
                    <w:rPr>
                      <w:szCs w:val="21"/>
                    </w:rPr>
                  </w:pPr>
                  <w:r>
                    <w:rPr>
                      <w:rFonts w:hint="eastAsia"/>
                      <w:szCs w:val="21"/>
                    </w:rPr>
                    <w:t>7.5</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97" w:hRule="atLeast"/>
              </w:trPr>
              <w:tc>
                <w:tcPr>
                  <w:tcW w:w="1560" w:type="dxa"/>
                  <w:tcBorders>
                    <w:bottom w:val="single" w:color="auto" w:sz="12" w:space="0"/>
                  </w:tcBorders>
                  <w:vAlign w:val="center"/>
                </w:tcPr>
                <w:p>
                  <w:pPr>
                    <w:spacing w:line="440" w:lineRule="exact"/>
                    <w:jc w:val="center"/>
                    <w:rPr>
                      <w:szCs w:val="21"/>
                    </w:rPr>
                  </w:pPr>
                  <w:r>
                    <w:rPr>
                      <w:szCs w:val="21"/>
                    </w:rPr>
                    <w:t>合计</w:t>
                  </w:r>
                </w:p>
              </w:tc>
              <w:tc>
                <w:tcPr>
                  <w:tcW w:w="3432" w:type="dxa"/>
                  <w:tcBorders>
                    <w:bottom w:val="single" w:color="auto" w:sz="12" w:space="0"/>
                  </w:tcBorders>
                  <w:vAlign w:val="center"/>
                </w:tcPr>
                <w:p>
                  <w:pPr>
                    <w:spacing w:line="440" w:lineRule="exact"/>
                    <w:jc w:val="center"/>
                    <w:rPr>
                      <w:szCs w:val="21"/>
                    </w:rPr>
                  </w:pPr>
                  <w:r>
                    <w:rPr>
                      <w:szCs w:val="21"/>
                    </w:rPr>
                    <w:t>——</w:t>
                  </w:r>
                </w:p>
              </w:tc>
              <w:tc>
                <w:tcPr>
                  <w:tcW w:w="1855" w:type="dxa"/>
                  <w:tcBorders>
                    <w:bottom w:val="single" w:color="auto" w:sz="12" w:space="0"/>
                  </w:tcBorders>
                  <w:vAlign w:val="center"/>
                </w:tcPr>
                <w:p>
                  <w:pPr>
                    <w:spacing w:line="440" w:lineRule="exact"/>
                    <w:jc w:val="center"/>
                  </w:pPr>
                  <w:r>
                    <w:rPr>
                      <w:rFonts w:hint="eastAsia"/>
                      <w:szCs w:val="21"/>
                    </w:rPr>
                    <w:t>9.5</w:t>
                  </w:r>
                </w:p>
              </w:tc>
              <w:tc>
                <w:tcPr>
                  <w:tcW w:w="1850" w:type="dxa"/>
                  <w:tcBorders>
                    <w:bottom w:val="single" w:color="auto" w:sz="12" w:space="0"/>
                  </w:tcBorders>
                  <w:vAlign w:val="center"/>
                </w:tcPr>
                <w:p>
                  <w:pPr>
                    <w:spacing w:line="440" w:lineRule="exact"/>
                    <w:jc w:val="center"/>
                    <w:rPr>
                      <w:szCs w:val="21"/>
                    </w:rPr>
                  </w:pPr>
                  <w:r>
                    <w:rPr>
                      <w:rFonts w:hint="eastAsia"/>
                      <w:szCs w:val="21"/>
                    </w:rPr>
                    <w:t>9.5</w:t>
                  </w:r>
                </w:p>
              </w:tc>
            </w:tr>
          </w:tbl>
          <w:p>
            <w:pPr>
              <w:spacing w:line="360" w:lineRule="auto"/>
              <w:rPr>
                <w:b/>
                <w:bCs/>
                <w:spacing w:val="-4"/>
                <w:sz w:val="24"/>
                <w:szCs w:val="24"/>
              </w:rPr>
            </w:pPr>
          </w:p>
          <w:p>
            <w:pPr>
              <w:spacing w:line="360" w:lineRule="auto"/>
              <w:rPr>
                <w:b/>
                <w:bCs/>
                <w:spacing w:val="-4"/>
                <w:sz w:val="24"/>
                <w:szCs w:val="24"/>
              </w:rPr>
            </w:pPr>
            <w:r>
              <w:rPr>
                <w:rFonts w:hint="eastAsia"/>
                <w:b/>
                <w:bCs/>
                <w:spacing w:val="-4"/>
                <w:sz w:val="24"/>
                <w:szCs w:val="24"/>
              </w:rPr>
              <w:t>4.5工程变更情况及变更原因</w:t>
            </w:r>
          </w:p>
          <w:p>
            <w:pPr>
              <w:spacing w:line="360" w:lineRule="auto"/>
              <w:ind w:firstLine="480" w:firstLineChars="200"/>
              <w:rPr>
                <w:bCs/>
                <w:sz w:val="24"/>
                <w:szCs w:val="24"/>
              </w:rPr>
            </w:pPr>
            <w:r>
              <w:rPr>
                <w:rFonts w:hint="eastAsia"/>
                <w:sz w:val="24"/>
              </w:rPr>
              <w:t>工程进入施工阶段，严格按照环境影响评价文件及批复的要求进行建设，建设单位严格执行了“三同时”制度</w:t>
            </w:r>
            <w:r>
              <w:rPr>
                <w:sz w:val="24"/>
                <w:szCs w:val="24"/>
              </w:rPr>
              <w:t>。</w:t>
            </w:r>
            <w:r>
              <w:rPr>
                <w:rFonts w:hint="eastAsia"/>
                <w:bCs/>
                <w:sz w:val="24"/>
                <w:szCs w:val="24"/>
              </w:rPr>
              <w:t>工程方面均按照环境影响评价文件及环评批复的要求进行建设，无其他工程变更情况。</w:t>
            </w:r>
          </w:p>
          <w:p>
            <w:pPr>
              <w:pStyle w:val="12"/>
              <w:widowControl/>
              <w:wordWrap w:val="0"/>
              <w:spacing w:before="10" w:beforeAutospacing="0" w:afterLines="50" w:afterAutospacing="0" w:line="408" w:lineRule="auto"/>
              <w:ind w:firstLine="964" w:firstLineChars="400"/>
              <w:jc w:val="both"/>
              <w:rPr>
                <w:b/>
                <w:szCs w:val="24"/>
              </w:rPr>
            </w:pPr>
            <w:r>
              <w:rPr>
                <w:rStyle w:val="14"/>
                <w:rFonts w:hint="eastAsia"/>
                <w:szCs w:val="24"/>
                <w:shd w:val="clear" w:color="auto" w:fill="FFFFFF"/>
              </w:rPr>
              <w:t>表4-2 “</w:t>
            </w:r>
            <w:r>
              <w:rPr>
                <w:rStyle w:val="14"/>
                <w:szCs w:val="24"/>
                <w:shd w:val="clear" w:color="auto" w:fill="FFFFFF"/>
              </w:rPr>
              <w:t>输变电建设项目重大变动清单（试行）</w:t>
            </w:r>
            <w:r>
              <w:rPr>
                <w:rStyle w:val="14"/>
                <w:rFonts w:hint="eastAsia"/>
                <w:szCs w:val="24"/>
                <w:shd w:val="clear" w:color="auto" w:fill="FFFFFF"/>
              </w:rPr>
              <w:t>”对照表</w:t>
            </w:r>
          </w:p>
          <w:tbl>
            <w:tblPr>
              <w:tblStyle w:val="18"/>
              <w:tblW w:w="8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2835"/>
              <w:gridCol w:w="1665"/>
              <w:gridCol w:w="1680"/>
              <w:gridCol w:w="1215"/>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5" w:type="dxa"/>
                  <w:tcBorders>
                    <w:top w:val="single" w:color="auto" w:sz="12" w:space="0"/>
                    <w:left w:val="nil"/>
                  </w:tcBorders>
                  <w:vAlign w:val="center"/>
                </w:tcPr>
                <w:p>
                  <w:pPr>
                    <w:spacing w:line="360" w:lineRule="auto"/>
                    <w:jc w:val="center"/>
                    <w:rPr>
                      <w:b/>
                      <w:sz w:val="24"/>
                      <w:szCs w:val="24"/>
                    </w:rPr>
                  </w:pPr>
                  <w:r>
                    <w:rPr>
                      <w:rFonts w:hint="eastAsia"/>
                      <w:b/>
                      <w:sz w:val="24"/>
                      <w:szCs w:val="24"/>
                    </w:rPr>
                    <w:t>序号</w:t>
                  </w:r>
                </w:p>
              </w:tc>
              <w:tc>
                <w:tcPr>
                  <w:tcW w:w="2835" w:type="dxa"/>
                  <w:tcBorders>
                    <w:top w:val="single" w:color="auto" w:sz="12" w:space="0"/>
                  </w:tcBorders>
                  <w:vAlign w:val="center"/>
                </w:tcPr>
                <w:p>
                  <w:pPr>
                    <w:spacing w:line="360" w:lineRule="auto"/>
                    <w:jc w:val="center"/>
                    <w:rPr>
                      <w:b/>
                      <w:sz w:val="24"/>
                      <w:szCs w:val="24"/>
                    </w:rPr>
                  </w:pPr>
                  <w:r>
                    <w:rPr>
                      <w:rFonts w:hint="eastAsia"/>
                      <w:b/>
                      <w:sz w:val="24"/>
                      <w:szCs w:val="24"/>
                    </w:rPr>
                    <w:t>重大变更清单</w:t>
                  </w:r>
                </w:p>
              </w:tc>
              <w:tc>
                <w:tcPr>
                  <w:tcW w:w="1665" w:type="dxa"/>
                  <w:tcBorders>
                    <w:top w:val="single" w:color="auto" w:sz="12" w:space="0"/>
                  </w:tcBorders>
                  <w:vAlign w:val="center"/>
                </w:tcPr>
                <w:p>
                  <w:pPr>
                    <w:spacing w:line="360" w:lineRule="auto"/>
                    <w:jc w:val="center"/>
                    <w:rPr>
                      <w:b/>
                      <w:sz w:val="24"/>
                      <w:szCs w:val="24"/>
                    </w:rPr>
                  </w:pPr>
                  <w:r>
                    <w:rPr>
                      <w:rFonts w:hint="eastAsia"/>
                      <w:b/>
                      <w:sz w:val="24"/>
                      <w:szCs w:val="24"/>
                    </w:rPr>
                    <w:t>环评批复情况</w:t>
                  </w:r>
                </w:p>
              </w:tc>
              <w:tc>
                <w:tcPr>
                  <w:tcW w:w="1680" w:type="dxa"/>
                  <w:tcBorders>
                    <w:top w:val="single" w:color="auto" w:sz="12" w:space="0"/>
                  </w:tcBorders>
                  <w:vAlign w:val="center"/>
                </w:tcPr>
                <w:p>
                  <w:pPr>
                    <w:spacing w:line="360" w:lineRule="auto"/>
                    <w:jc w:val="center"/>
                    <w:rPr>
                      <w:b/>
                      <w:sz w:val="24"/>
                      <w:szCs w:val="24"/>
                    </w:rPr>
                  </w:pPr>
                  <w:r>
                    <w:rPr>
                      <w:rFonts w:hint="eastAsia"/>
                      <w:b/>
                      <w:sz w:val="24"/>
                      <w:szCs w:val="24"/>
                    </w:rPr>
                    <w:t>实际建设情况</w:t>
                  </w:r>
                </w:p>
              </w:tc>
              <w:tc>
                <w:tcPr>
                  <w:tcW w:w="1215" w:type="dxa"/>
                  <w:tcBorders>
                    <w:top w:val="single" w:color="auto" w:sz="12" w:space="0"/>
                  </w:tcBorders>
                  <w:vAlign w:val="center"/>
                </w:tcPr>
                <w:p>
                  <w:pPr>
                    <w:spacing w:line="360" w:lineRule="auto"/>
                    <w:jc w:val="center"/>
                    <w:rPr>
                      <w:b/>
                      <w:sz w:val="24"/>
                      <w:szCs w:val="24"/>
                    </w:rPr>
                  </w:pPr>
                  <w:r>
                    <w:rPr>
                      <w:rFonts w:hint="eastAsia"/>
                      <w:b/>
                      <w:sz w:val="24"/>
                      <w:szCs w:val="24"/>
                    </w:rPr>
                    <w:t>工程变更情况</w:t>
                  </w:r>
                </w:p>
              </w:tc>
              <w:tc>
                <w:tcPr>
                  <w:tcW w:w="975" w:type="dxa"/>
                  <w:tcBorders>
                    <w:top w:val="single" w:color="auto" w:sz="12" w:space="0"/>
                    <w:right w:val="nil"/>
                  </w:tcBorders>
                  <w:vAlign w:val="center"/>
                </w:tcPr>
                <w:p>
                  <w:pPr>
                    <w:spacing w:line="360" w:lineRule="auto"/>
                    <w:jc w:val="center"/>
                    <w:rPr>
                      <w:b/>
                      <w:sz w:val="24"/>
                      <w:szCs w:val="24"/>
                    </w:rPr>
                  </w:pPr>
                  <w:r>
                    <w:rPr>
                      <w:rFonts w:hint="eastAsia"/>
                      <w:b/>
                      <w:sz w:val="24"/>
                      <w:szCs w:val="24"/>
                    </w:rPr>
                    <w:t>是否属于重大变更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8" w:hRule="atLeast"/>
              </w:trPr>
              <w:tc>
                <w:tcPr>
                  <w:tcW w:w="575" w:type="dxa"/>
                  <w:tcBorders>
                    <w:left w:val="nil"/>
                  </w:tcBorders>
                  <w:vAlign w:val="center"/>
                </w:tcPr>
                <w:p>
                  <w:pPr>
                    <w:spacing w:line="360" w:lineRule="auto"/>
                    <w:jc w:val="center"/>
                    <w:rPr>
                      <w:b/>
                      <w:sz w:val="24"/>
                      <w:szCs w:val="24"/>
                    </w:rPr>
                  </w:pPr>
                  <w:r>
                    <w:rPr>
                      <w:rFonts w:hint="eastAsia"/>
                      <w:bCs/>
                      <w:sz w:val="24"/>
                      <w:szCs w:val="24"/>
                    </w:rPr>
                    <w:t>1</w:t>
                  </w:r>
                </w:p>
              </w:tc>
              <w:tc>
                <w:tcPr>
                  <w:tcW w:w="2835" w:type="dxa"/>
                  <w:vAlign w:val="center"/>
                </w:tcPr>
                <w:p>
                  <w:pPr>
                    <w:spacing w:line="360" w:lineRule="auto"/>
                    <w:jc w:val="center"/>
                    <w:rPr>
                      <w:b/>
                      <w:sz w:val="24"/>
                      <w:szCs w:val="24"/>
                    </w:rPr>
                  </w:pPr>
                  <w:r>
                    <w:rPr>
                      <w:sz w:val="24"/>
                      <w:szCs w:val="24"/>
                      <w:shd w:val="clear" w:color="auto" w:fill="FFFFFF"/>
                    </w:rPr>
                    <w:t>电压等级升高</w:t>
                  </w:r>
                </w:p>
              </w:tc>
              <w:tc>
                <w:tcPr>
                  <w:tcW w:w="1665" w:type="dxa"/>
                  <w:vAlign w:val="center"/>
                </w:tcPr>
                <w:p>
                  <w:pPr>
                    <w:spacing w:line="360" w:lineRule="auto"/>
                    <w:jc w:val="center"/>
                    <w:rPr>
                      <w:sz w:val="24"/>
                      <w:szCs w:val="24"/>
                      <w:shd w:val="clear" w:color="auto" w:fill="FFFFFF"/>
                    </w:rPr>
                  </w:pPr>
                  <w:r>
                    <w:rPr>
                      <w:rFonts w:hint="eastAsia"/>
                      <w:sz w:val="24"/>
                      <w:szCs w:val="24"/>
                      <w:shd w:val="clear" w:color="auto" w:fill="FFFFFF"/>
                    </w:rPr>
                    <w:t>110kV</w:t>
                  </w:r>
                </w:p>
              </w:tc>
              <w:tc>
                <w:tcPr>
                  <w:tcW w:w="1680" w:type="dxa"/>
                  <w:vAlign w:val="center"/>
                </w:tcPr>
                <w:p>
                  <w:pPr>
                    <w:spacing w:line="360" w:lineRule="auto"/>
                    <w:jc w:val="center"/>
                    <w:rPr>
                      <w:sz w:val="24"/>
                      <w:szCs w:val="24"/>
                      <w:shd w:val="clear" w:color="auto" w:fill="FFFFFF"/>
                    </w:rPr>
                  </w:pPr>
                  <w:r>
                    <w:rPr>
                      <w:rFonts w:hint="eastAsia"/>
                      <w:sz w:val="24"/>
                      <w:szCs w:val="24"/>
                      <w:shd w:val="clear" w:color="auto" w:fill="FFFFFF"/>
                    </w:rPr>
                    <w:t>110kV</w:t>
                  </w:r>
                </w:p>
              </w:tc>
              <w:tc>
                <w:tcPr>
                  <w:tcW w:w="1215" w:type="dxa"/>
                  <w:vAlign w:val="center"/>
                </w:tcPr>
                <w:p>
                  <w:pPr>
                    <w:spacing w:line="360" w:lineRule="auto"/>
                    <w:jc w:val="center"/>
                    <w:rPr>
                      <w:b/>
                      <w:sz w:val="24"/>
                      <w:szCs w:val="24"/>
                    </w:rPr>
                  </w:pPr>
                  <w:r>
                    <w:rPr>
                      <w:rFonts w:hint="eastAsia"/>
                      <w:sz w:val="24"/>
                      <w:szCs w:val="24"/>
                      <w:shd w:val="clear" w:color="auto" w:fill="FFFFFF"/>
                    </w:rPr>
                    <w:t>无变更</w:t>
                  </w:r>
                </w:p>
              </w:tc>
              <w:tc>
                <w:tcPr>
                  <w:tcW w:w="975" w:type="dxa"/>
                  <w:tcBorders>
                    <w:right w:val="nil"/>
                  </w:tcBorders>
                  <w:vAlign w:val="center"/>
                </w:tcPr>
                <w:p>
                  <w:pPr>
                    <w:spacing w:line="360" w:lineRule="auto"/>
                    <w:jc w:val="center"/>
                    <w:rPr>
                      <w:b/>
                      <w:sz w:val="24"/>
                      <w:szCs w:val="24"/>
                    </w:rPr>
                  </w:pPr>
                  <w:r>
                    <w:rPr>
                      <w:rFonts w:hint="eastAsia"/>
                      <w:sz w:val="24"/>
                      <w:szCs w:val="24"/>
                      <w:shd w:val="clear" w:color="auto" w:fill="FFFFFF"/>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5" w:type="dxa"/>
                  <w:tcBorders>
                    <w:left w:val="nil"/>
                  </w:tcBorders>
                  <w:vAlign w:val="center"/>
                </w:tcPr>
                <w:p>
                  <w:pPr>
                    <w:spacing w:line="360" w:lineRule="auto"/>
                    <w:jc w:val="center"/>
                    <w:rPr>
                      <w:sz w:val="24"/>
                      <w:szCs w:val="24"/>
                      <w:shd w:val="clear" w:color="auto" w:fill="FFFFFF"/>
                    </w:rPr>
                  </w:pPr>
                  <w:r>
                    <w:rPr>
                      <w:rFonts w:hint="eastAsia"/>
                      <w:sz w:val="24"/>
                      <w:szCs w:val="24"/>
                      <w:shd w:val="clear" w:color="auto" w:fill="FFFFFF"/>
                    </w:rPr>
                    <w:t>2</w:t>
                  </w:r>
                </w:p>
              </w:tc>
              <w:tc>
                <w:tcPr>
                  <w:tcW w:w="2835" w:type="dxa"/>
                  <w:vAlign w:val="center"/>
                </w:tcPr>
                <w:p>
                  <w:pPr>
                    <w:spacing w:line="360" w:lineRule="auto"/>
                    <w:jc w:val="center"/>
                    <w:rPr>
                      <w:sz w:val="24"/>
                      <w:szCs w:val="24"/>
                      <w:shd w:val="clear" w:color="auto" w:fill="FFFFFF"/>
                    </w:rPr>
                  </w:pPr>
                  <w:r>
                    <w:rPr>
                      <w:rFonts w:hint="eastAsia"/>
                      <w:sz w:val="24"/>
                      <w:szCs w:val="24"/>
                      <w:shd w:val="clear" w:color="auto" w:fill="FFFFFF"/>
                    </w:rPr>
                    <w:t>主变压器、换流变压器、高压电抗器等主要设备总数量增加超过原数量的30%。</w:t>
                  </w:r>
                </w:p>
              </w:tc>
              <w:tc>
                <w:tcPr>
                  <w:tcW w:w="1665" w:type="dxa"/>
                  <w:vAlign w:val="center"/>
                </w:tcPr>
                <w:p>
                  <w:pPr>
                    <w:spacing w:line="360" w:lineRule="auto"/>
                    <w:jc w:val="center"/>
                    <w:rPr>
                      <w:sz w:val="24"/>
                      <w:szCs w:val="24"/>
                      <w:shd w:val="clear" w:color="auto" w:fill="FFFFFF"/>
                    </w:rPr>
                  </w:pPr>
                  <w:r>
                    <w:rPr>
                      <w:rFonts w:hint="eastAsia"/>
                      <w:sz w:val="24"/>
                      <w:szCs w:val="24"/>
                      <w:shd w:val="clear" w:color="auto" w:fill="FFFFFF"/>
                    </w:rPr>
                    <w:t>主变压器</w:t>
                  </w:r>
                </w:p>
                <w:p>
                  <w:pPr>
                    <w:spacing w:line="360" w:lineRule="auto"/>
                    <w:jc w:val="center"/>
                    <w:rPr>
                      <w:sz w:val="24"/>
                      <w:szCs w:val="24"/>
                      <w:shd w:val="clear" w:color="auto" w:fill="FFFFFF"/>
                    </w:rPr>
                  </w:pPr>
                  <w:r>
                    <w:rPr>
                      <w:rFonts w:hint="eastAsia"/>
                      <w:sz w:val="24"/>
                      <w:szCs w:val="24"/>
                    </w:rPr>
                    <w:t>1×50</w:t>
                  </w:r>
                  <w:r>
                    <w:rPr>
                      <w:sz w:val="24"/>
                      <w:szCs w:val="24"/>
                    </w:rPr>
                    <w:t>MVA</w:t>
                  </w:r>
                </w:p>
              </w:tc>
              <w:tc>
                <w:tcPr>
                  <w:tcW w:w="1680" w:type="dxa"/>
                  <w:vAlign w:val="center"/>
                </w:tcPr>
                <w:p>
                  <w:pPr>
                    <w:spacing w:line="360" w:lineRule="auto"/>
                    <w:jc w:val="center"/>
                    <w:rPr>
                      <w:sz w:val="24"/>
                      <w:szCs w:val="24"/>
                      <w:shd w:val="clear" w:color="auto" w:fill="FFFFFF"/>
                    </w:rPr>
                  </w:pPr>
                  <w:r>
                    <w:rPr>
                      <w:rFonts w:hint="eastAsia"/>
                      <w:sz w:val="24"/>
                      <w:szCs w:val="24"/>
                      <w:shd w:val="clear" w:color="auto" w:fill="FFFFFF"/>
                    </w:rPr>
                    <w:t>主变压器</w:t>
                  </w:r>
                </w:p>
                <w:p>
                  <w:pPr>
                    <w:spacing w:line="360" w:lineRule="auto"/>
                    <w:jc w:val="center"/>
                    <w:rPr>
                      <w:sz w:val="24"/>
                      <w:szCs w:val="24"/>
                      <w:shd w:val="clear" w:color="auto" w:fill="FFFFFF"/>
                    </w:rPr>
                  </w:pPr>
                  <w:r>
                    <w:rPr>
                      <w:rFonts w:hint="eastAsia"/>
                      <w:sz w:val="24"/>
                      <w:szCs w:val="24"/>
                    </w:rPr>
                    <w:t>1×50</w:t>
                  </w:r>
                  <w:r>
                    <w:rPr>
                      <w:sz w:val="24"/>
                      <w:szCs w:val="24"/>
                    </w:rPr>
                    <w:t>MVA</w:t>
                  </w:r>
                </w:p>
              </w:tc>
              <w:tc>
                <w:tcPr>
                  <w:tcW w:w="1215" w:type="dxa"/>
                  <w:vAlign w:val="center"/>
                </w:tcPr>
                <w:p>
                  <w:pPr>
                    <w:spacing w:line="360" w:lineRule="auto"/>
                    <w:jc w:val="center"/>
                    <w:rPr>
                      <w:sz w:val="24"/>
                      <w:szCs w:val="24"/>
                      <w:shd w:val="clear" w:color="auto" w:fill="FFFFFF"/>
                    </w:rPr>
                  </w:pPr>
                  <w:r>
                    <w:rPr>
                      <w:rFonts w:hint="eastAsia"/>
                      <w:sz w:val="24"/>
                      <w:szCs w:val="24"/>
                      <w:shd w:val="clear" w:color="auto" w:fill="FFFFFF"/>
                    </w:rPr>
                    <w:t>无变更</w:t>
                  </w:r>
                </w:p>
              </w:tc>
              <w:tc>
                <w:tcPr>
                  <w:tcW w:w="975" w:type="dxa"/>
                  <w:tcBorders>
                    <w:right w:val="nil"/>
                  </w:tcBorders>
                  <w:vAlign w:val="center"/>
                </w:tcPr>
                <w:p>
                  <w:pPr>
                    <w:spacing w:line="360" w:lineRule="auto"/>
                    <w:jc w:val="center"/>
                    <w:rPr>
                      <w:sz w:val="24"/>
                      <w:szCs w:val="24"/>
                      <w:shd w:val="clear" w:color="auto" w:fill="FFFFFF"/>
                    </w:rPr>
                  </w:pPr>
                  <w:r>
                    <w:rPr>
                      <w:rFonts w:hint="eastAsia"/>
                      <w:sz w:val="24"/>
                      <w:szCs w:val="24"/>
                      <w:shd w:val="clear" w:color="auto" w:fill="FFFFFF"/>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575" w:type="dxa"/>
                  <w:tcBorders>
                    <w:left w:val="nil"/>
                  </w:tcBorders>
                  <w:vAlign w:val="center"/>
                </w:tcPr>
                <w:p>
                  <w:pPr>
                    <w:spacing w:line="360" w:lineRule="auto"/>
                    <w:jc w:val="center"/>
                    <w:rPr>
                      <w:sz w:val="24"/>
                      <w:szCs w:val="24"/>
                      <w:shd w:val="clear" w:color="auto" w:fill="FFFFFF"/>
                    </w:rPr>
                  </w:pPr>
                  <w:r>
                    <w:rPr>
                      <w:rFonts w:hint="eastAsia"/>
                      <w:sz w:val="24"/>
                      <w:szCs w:val="24"/>
                      <w:shd w:val="clear" w:color="auto" w:fill="FFFFFF"/>
                    </w:rPr>
                    <w:t>3</w:t>
                  </w:r>
                </w:p>
              </w:tc>
              <w:tc>
                <w:tcPr>
                  <w:tcW w:w="2835" w:type="dxa"/>
                  <w:vAlign w:val="center"/>
                </w:tcPr>
                <w:p>
                  <w:pPr>
                    <w:spacing w:line="360" w:lineRule="auto"/>
                    <w:jc w:val="center"/>
                    <w:rPr>
                      <w:sz w:val="24"/>
                      <w:szCs w:val="24"/>
                      <w:shd w:val="clear" w:color="auto" w:fill="FFFFFF"/>
                    </w:rPr>
                  </w:pPr>
                  <w:r>
                    <w:rPr>
                      <w:rFonts w:hint="eastAsia"/>
                      <w:sz w:val="24"/>
                      <w:szCs w:val="24"/>
                      <w:shd w:val="clear" w:color="auto" w:fill="FFFFFF"/>
                    </w:rPr>
                    <w:t>变电站、换流站、开关站、串补站站址位移超过500米。</w:t>
                  </w:r>
                </w:p>
              </w:tc>
              <w:tc>
                <w:tcPr>
                  <w:tcW w:w="1665" w:type="dxa"/>
                  <w:vAlign w:val="center"/>
                </w:tcPr>
                <w:p>
                  <w:pPr>
                    <w:spacing w:line="360" w:lineRule="auto"/>
                    <w:jc w:val="center"/>
                    <w:rPr>
                      <w:sz w:val="24"/>
                      <w:szCs w:val="24"/>
                      <w:shd w:val="clear" w:color="auto" w:fill="FFFFFF"/>
                    </w:rPr>
                  </w:pPr>
                  <w:r>
                    <w:rPr>
                      <w:rFonts w:hint="eastAsia"/>
                      <w:bCs/>
                      <w:sz w:val="24"/>
                      <w:szCs w:val="24"/>
                      <w:shd w:val="clear" w:color="auto" w:fill="FFFFFF"/>
                    </w:rPr>
                    <w:t>平武县龙安镇城郊</w:t>
                  </w:r>
                </w:p>
              </w:tc>
              <w:tc>
                <w:tcPr>
                  <w:tcW w:w="1680" w:type="dxa"/>
                  <w:vAlign w:val="center"/>
                </w:tcPr>
                <w:p>
                  <w:pPr>
                    <w:spacing w:line="360" w:lineRule="auto"/>
                    <w:jc w:val="center"/>
                    <w:rPr>
                      <w:sz w:val="24"/>
                      <w:szCs w:val="24"/>
                      <w:shd w:val="clear" w:color="auto" w:fill="FFFFFF"/>
                    </w:rPr>
                  </w:pPr>
                  <w:r>
                    <w:rPr>
                      <w:rFonts w:hint="eastAsia"/>
                      <w:bCs/>
                      <w:sz w:val="24"/>
                      <w:szCs w:val="24"/>
                      <w:shd w:val="clear" w:color="auto" w:fill="FFFFFF"/>
                    </w:rPr>
                    <w:t>平武县龙安镇城郊</w:t>
                  </w:r>
                </w:p>
              </w:tc>
              <w:tc>
                <w:tcPr>
                  <w:tcW w:w="1215" w:type="dxa"/>
                  <w:vAlign w:val="center"/>
                </w:tcPr>
                <w:p>
                  <w:pPr>
                    <w:spacing w:line="360" w:lineRule="auto"/>
                    <w:jc w:val="center"/>
                    <w:rPr>
                      <w:sz w:val="24"/>
                      <w:szCs w:val="24"/>
                      <w:shd w:val="clear" w:color="auto" w:fill="FFFFFF"/>
                    </w:rPr>
                  </w:pPr>
                  <w:r>
                    <w:rPr>
                      <w:rFonts w:hint="eastAsia"/>
                      <w:sz w:val="24"/>
                      <w:szCs w:val="24"/>
                      <w:shd w:val="clear" w:color="auto" w:fill="FFFFFF"/>
                    </w:rPr>
                    <w:t>无变更</w:t>
                  </w:r>
                </w:p>
              </w:tc>
              <w:tc>
                <w:tcPr>
                  <w:tcW w:w="975" w:type="dxa"/>
                  <w:tcBorders>
                    <w:right w:val="nil"/>
                  </w:tcBorders>
                  <w:vAlign w:val="center"/>
                </w:tcPr>
                <w:p>
                  <w:pPr>
                    <w:spacing w:line="360" w:lineRule="auto"/>
                    <w:jc w:val="center"/>
                    <w:rPr>
                      <w:sz w:val="24"/>
                      <w:szCs w:val="24"/>
                      <w:shd w:val="clear" w:color="auto" w:fill="FFFFFF"/>
                    </w:rPr>
                  </w:pPr>
                  <w:r>
                    <w:rPr>
                      <w:rFonts w:hint="eastAsia"/>
                      <w:sz w:val="24"/>
                      <w:szCs w:val="24"/>
                      <w:shd w:val="clear" w:color="auto" w:fill="FFFFFF"/>
                    </w:rPr>
                    <w:t>否</w:t>
                  </w:r>
                </w:p>
                <w:p>
                  <w:pPr>
                    <w:spacing w:line="360" w:lineRule="auto"/>
                    <w:jc w:val="center"/>
                    <w:rPr>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1" w:hRule="atLeast"/>
              </w:trPr>
              <w:tc>
                <w:tcPr>
                  <w:tcW w:w="575" w:type="dxa"/>
                  <w:tcBorders>
                    <w:left w:val="nil"/>
                  </w:tcBorders>
                  <w:vAlign w:val="center"/>
                </w:tcPr>
                <w:p>
                  <w:pPr>
                    <w:spacing w:line="360" w:lineRule="auto"/>
                    <w:jc w:val="center"/>
                    <w:rPr>
                      <w:sz w:val="24"/>
                      <w:szCs w:val="24"/>
                      <w:shd w:val="clear" w:color="auto" w:fill="FFFFFF"/>
                    </w:rPr>
                  </w:pPr>
                  <w:r>
                    <w:rPr>
                      <w:rFonts w:hint="eastAsia"/>
                      <w:sz w:val="24"/>
                      <w:szCs w:val="24"/>
                      <w:shd w:val="clear" w:color="auto" w:fill="FFFFFF"/>
                    </w:rPr>
                    <w:t>4</w:t>
                  </w:r>
                </w:p>
              </w:tc>
              <w:tc>
                <w:tcPr>
                  <w:tcW w:w="2835" w:type="dxa"/>
                  <w:vAlign w:val="center"/>
                </w:tcPr>
                <w:p>
                  <w:pPr>
                    <w:spacing w:line="360" w:lineRule="auto"/>
                    <w:jc w:val="center"/>
                    <w:rPr>
                      <w:sz w:val="24"/>
                      <w:szCs w:val="24"/>
                      <w:shd w:val="clear" w:color="auto" w:fill="FFFFFF"/>
                    </w:rPr>
                  </w:pPr>
                  <w:r>
                    <w:rPr>
                      <w:rFonts w:hint="eastAsia"/>
                      <w:sz w:val="24"/>
                      <w:szCs w:val="24"/>
                      <w:shd w:val="clear" w:color="auto" w:fill="FFFFFF"/>
                    </w:rPr>
                    <w:t>因输变电工程站址新增的声环境敏感目标超过原数量的30%。</w:t>
                  </w:r>
                </w:p>
              </w:tc>
              <w:tc>
                <w:tcPr>
                  <w:tcW w:w="1665" w:type="dxa"/>
                  <w:vAlign w:val="center"/>
                </w:tcPr>
                <w:p>
                  <w:pPr>
                    <w:spacing w:line="360" w:lineRule="auto"/>
                    <w:jc w:val="center"/>
                    <w:rPr>
                      <w:sz w:val="24"/>
                      <w:szCs w:val="24"/>
                      <w:shd w:val="clear" w:color="auto" w:fill="FFFFFF"/>
                    </w:rPr>
                  </w:pPr>
                  <w:r>
                    <w:rPr>
                      <w:rFonts w:hint="eastAsia"/>
                      <w:sz w:val="24"/>
                      <w:szCs w:val="24"/>
                      <w:shd w:val="clear" w:color="auto" w:fill="FFFFFF"/>
                    </w:rPr>
                    <w:t>敏感目标1处</w:t>
                  </w:r>
                </w:p>
              </w:tc>
              <w:tc>
                <w:tcPr>
                  <w:tcW w:w="1680" w:type="dxa"/>
                  <w:vAlign w:val="center"/>
                </w:tcPr>
                <w:p>
                  <w:pPr>
                    <w:spacing w:line="360" w:lineRule="auto"/>
                    <w:jc w:val="center"/>
                    <w:rPr>
                      <w:sz w:val="24"/>
                      <w:szCs w:val="24"/>
                      <w:shd w:val="clear" w:color="auto" w:fill="FFFFFF"/>
                    </w:rPr>
                  </w:pPr>
                  <w:r>
                    <w:rPr>
                      <w:rFonts w:hint="eastAsia"/>
                      <w:sz w:val="24"/>
                      <w:szCs w:val="24"/>
                      <w:shd w:val="clear" w:color="auto" w:fill="FFFFFF"/>
                    </w:rPr>
                    <w:t>敏感目标2处，新增1处</w:t>
                  </w:r>
                </w:p>
              </w:tc>
              <w:tc>
                <w:tcPr>
                  <w:tcW w:w="1215" w:type="dxa"/>
                  <w:vAlign w:val="center"/>
                </w:tcPr>
                <w:p>
                  <w:pPr>
                    <w:spacing w:line="360" w:lineRule="auto"/>
                    <w:jc w:val="center"/>
                    <w:rPr>
                      <w:sz w:val="24"/>
                      <w:szCs w:val="24"/>
                      <w:shd w:val="clear" w:color="auto" w:fill="FFFFFF"/>
                    </w:rPr>
                  </w:pPr>
                  <w:r>
                    <w:rPr>
                      <w:rFonts w:hint="eastAsia"/>
                      <w:sz w:val="24"/>
                      <w:szCs w:val="24"/>
                      <w:shd w:val="clear" w:color="auto" w:fill="FFFFFF"/>
                    </w:rPr>
                    <w:t>新增1处为噪声调查范围内敏感目标，因环评与验收噪声调查范围不同。</w:t>
                  </w:r>
                </w:p>
              </w:tc>
              <w:tc>
                <w:tcPr>
                  <w:tcW w:w="975" w:type="dxa"/>
                  <w:tcBorders>
                    <w:right w:val="nil"/>
                  </w:tcBorders>
                  <w:vAlign w:val="center"/>
                </w:tcPr>
                <w:p>
                  <w:pPr>
                    <w:spacing w:line="360" w:lineRule="auto"/>
                    <w:ind w:firstLine="240" w:firstLineChars="100"/>
                    <w:rPr>
                      <w:sz w:val="24"/>
                      <w:szCs w:val="24"/>
                      <w:shd w:val="clear" w:color="auto" w:fill="FFFFFF"/>
                    </w:rPr>
                  </w:pPr>
                  <w:r>
                    <w:rPr>
                      <w:rFonts w:hint="eastAsia"/>
                      <w:sz w:val="24"/>
                      <w:szCs w:val="24"/>
                      <w:shd w:val="clear" w:color="auto" w:fill="FFFFFF"/>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5" w:type="dxa"/>
                  <w:tcBorders>
                    <w:left w:val="nil"/>
                  </w:tcBorders>
                  <w:vAlign w:val="center"/>
                </w:tcPr>
                <w:p>
                  <w:pPr>
                    <w:spacing w:line="360" w:lineRule="auto"/>
                    <w:jc w:val="center"/>
                    <w:rPr>
                      <w:sz w:val="24"/>
                      <w:szCs w:val="24"/>
                      <w:shd w:val="clear" w:color="auto" w:fill="FFFFFF"/>
                    </w:rPr>
                  </w:pPr>
                  <w:r>
                    <w:rPr>
                      <w:rFonts w:hint="eastAsia"/>
                      <w:sz w:val="24"/>
                      <w:szCs w:val="24"/>
                      <w:shd w:val="clear" w:color="auto" w:fill="FFFFFF"/>
                    </w:rPr>
                    <w:t>5</w:t>
                  </w:r>
                </w:p>
              </w:tc>
              <w:tc>
                <w:tcPr>
                  <w:tcW w:w="2835" w:type="dxa"/>
                  <w:vAlign w:val="center"/>
                </w:tcPr>
                <w:p>
                  <w:pPr>
                    <w:spacing w:line="360" w:lineRule="auto"/>
                    <w:jc w:val="center"/>
                    <w:rPr>
                      <w:sz w:val="24"/>
                      <w:szCs w:val="24"/>
                      <w:shd w:val="clear" w:color="auto" w:fill="FFFFFF"/>
                    </w:rPr>
                  </w:pPr>
                  <w:r>
                    <w:rPr>
                      <w:rFonts w:hint="eastAsia"/>
                      <w:sz w:val="24"/>
                      <w:szCs w:val="24"/>
                      <w:shd w:val="clear" w:color="auto" w:fill="FFFFFF"/>
                    </w:rPr>
                    <w:t>变电站为户外布置变为户外。</w:t>
                  </w:r>
                </w:p>
              </w:tc>
              <w:tc>
                <w:tcPr>
                  <w:tcW w:w="1665" w:type="dxa"/>
                  <w:vAlign w:val="center"/>
                </w:tcPr>
                <w:p>
                  <w:pPr>
                    <w:spacing w:line="360" w:lineRule="auto"/>
                    <w:jc w:val="center"/>
                    <w:rPr>
                      <w:sz w:val="24"/>
                      <w:szCs w:val="24"/>
                      <w:shd w:val="clear" w:color="auto" w:fill="FFFFFF"/>
                    </w:rPr>
                  </w:pPr>
                  <w:r>
                    <w:rPr>
                      <w:rFonts w:hint="eastAsia"/>
                      <w:sz w:val="24"/>
                      <w:szCs w:val="24"/>
                      <w:shd w:val="clear" w:color="auto" w:fill="FFFFFF"/>
                    </w:rPr>
                    <w:t>户外布置</w:t>
                  </w:r>
                </w:p>
              </w:tc>
              <w:tc>
                <w:tcPr>
                  <w:tcW w:w="1680" w:type="dxa"/>
                  <w:vAlign w:val="center"/>
                </w:tcPr>
                <w:p>
                  <w:pPr>
                    <w:spacing w:line="360" w:lineRule="auto"/>
                    <w:jc w:val="center"/>
                    <w:rPr>
                      <w:sz w:val="24"/>
                      <w:szCs w:val="24"/>
                      <w:shd w:val="clear" w:color="auto" w:fill="FFFFFF"/>
                    </w:rPr>
                  </w:pPr>
                  <w:r>
                    <w:rPr>
                      <w:rFonts w:hint="eastAsia"/>
                      <w:sz w:val="24"/>
                      <w:szCs w:val="24"/>
                      <w:shd w:val="clear" w:color="auto" w:fill="FFFFFF"/>
                    </w:rPr>
                    <w:t>户外布置</w:t>
                  </w:r>
                </w:p>
              </w:tc>
              <w:tc>
                <w:tcPr>
                  <w:tcW w:w="1215" w:type="dxa"/>
                  <w:vAlign w:val="center"/>
                </w:tcPr>
                <w:p>
                  <w:pPr>
                    <w:spacing w:line="360" w:lineRule="auto"/>
                    <w:jc w:val="center"/>
                    <w:rPr>
                      <w:sz w:val="24"/>
                      <w:szCs w:val="24"/>
                      <w:shd w:val="clear" w:color="auto" w:fill="FFFFFF"/>
                    </w:rPr>
                  </w:pPr>
                  <w:r>
                    <w:rPr>
                      <w:rFonts w:hint="eastAsia"/>
                      <w:sz w:val="24"/>
                      <w:szCs w:val="24"/>
                      <w:shd w:val="clear" w:color="auto" w:fill="FFFFFF"/>
                    </w:rPr>
                    <w:t>无变更</w:t>
                  </w:r>
                </w:p>
              </w:tc>
              <w:tc>
                <w:tcPr>
                  <w:tcW w:w="975" w:type="dxa"/>
                  <w:tcBorders>
                    <w:right w:val="nil"/>
                  </w:tcBorders>
                  <w:vAlign w:val="center"/>
                </w:tcPr>
                <w:p>
                  <w:pPr>
                    <w:spacing w:line="360" w:lineRule="auto"/>
                    <w:jc w:val="center"/>
                    <w:rPr>
                      <w:sz w:val="24"/>
                      <w:szCs w:val="24"/>
                      <w:shd w:val="clear" w:color="auto" w:fill="FFFFFF"/>
                    </w:rPr>
                  </w:pPr>
                  <w:r>
                    <w:rPr>
                      <w:rFonts w:hint="eastAsia"/>
                      <w:sz w:val="24"/>
                      <w:szCs w:val="24"/>
                      <w:shd w:val="clear" w:color="auto" w:fill="FFFFFF"/>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5" w:type="dxa"/>
                  <w:tcBorders>
                    <w:left w:val="nil"/>
                  </w:tcBorders>
                  <w:vAlign w:val="center"/>
                </w:tcPr>
                <w:p>
                  <w:pPr>
                    <w:spacing w:line="360" w:lineRule="auto"/>
                    <w:jc w:val="center"/>
                    <w:rPr>
                      <w:sz w:val="24"/>
                      <w:szCs w:val="24"/>
                      <w:shd w:val="clear" w:color="auto" w:fill="FFFFFF"/>
                    </w:rPr>
                  </w:pPr>
                  <w:r>
                    <w:rPr>
                      <w:rFonts w:hint="eastAsia"/>
                      <w:sz w:val="24"/>
                      <w:szCs w:val="24"/>
                      <w:shd w:val="clear" w:color="auto" w:fill="FFFFFF"/>
                    </w:rPr>
                    <w:t>6</w:t>
                  </w:r>
                </w:p>
              </w:tc>
              <w:tc>
                <w:tcPr>
                  <w:tcW w:w="2835" w:type="dxa"/>
                  <w:vAlign w:val="center"/>
                </w:tcPr>
                <w:p>
                  <w:pPr>
                    <w:spacing w:line="360" w:lineRule="auto"/>
                    <w:jc w:val="center"/>
                    <w:rPr>
                      <w:sz w:val="24"/>
                      <w:szCs w:val="24"/>
                      <w:shd w:val="clear" w:color="auto" w:fill="FFFFFF"/>
                    </w:rPr>
                  </w:pPr>
                  <w:r>
                    <w:rPr>
                      <w:rFonts w:hint="eastAsia"/>
                      <w:sz w:val="24"/>
                      <w:szCs w:val="24"/>
                      <w:shd w:val="clear" w:color="auto" w:fill="FFFFFF"/>
                    </w:rPr>
                    <w:t>输电线路路径长度增加超过原路径长度的30%。</w:t>
                  </w:r>
                </w:p>
              </w:tc>
              <w:tc>
                <w:tcPr>
                  <w:tcW w:w="1665" w:type="dxa"/>
                  <w:vAlign w:val="center"/>
                </w:tcPr>
                <w:p>
                  <w:pPr>
                    <w:spacing w:line="360" w:lineRule="auto"/>
                    <w:jc w:val="center"/>
                    <w:rPr>
                      <w:sz w:val="24"/>
                      <w:szCs w:val="24"/>
                      <w:shd w:val="clear" w:color="auto" w:fill="FFFFFF"/>
                    </w:rPr>
                  </w:pPr>
                  <w:r>
                    <w:rPr>
                      <w:rFonts w:hint="eastAsia"/>
                      <w:sz w:val="24"/>
                      <w:szCs w:val="24"/>
                      <w:shd w:val="clear" w:color="auto" w:fill="FFFFFF"/>
                    </w:rPr>
                    <w:t>不涉及</w:t>
                  </w:r>
                </w:p>
              </w:tc>
              <w:tc>
                <w:tcPr>
                  <w:tcW w:w="1680" w:type="dxa"/>
                  <w:vAlign w:val="center"/>
                </w:tcPr>
                <w:p>
                  <w:pPr>
                    <w:spacing w:line="360" w:lineRule="auto"/>
                    <w:jc w:val="center"/>
                    <w:rPr>
                      <w:sz w:val="24"/>
                      <w:szCs w:val="24"/>
                      <w:shd w:val="clear" w:color="auto" w:fill="FFFFFF"/>
                    </w:rPr>
                  </w:pPr>
                  <w:r>
                    <w:rPr>
                      <w:rFonts w:hint="eastAsia"/>
                      <w:sz w:val="24"/>
                      <w:szCs w:val="24"/>
                      <w:shd w:val="clear" w:color="auto" w:fill="FFFFFF"/>
                    </w:rPr>
                    <w:t>不涉及</w:t>
                  </w:r>
                </w:p>
              </w:tc>
              <w:tc>
                <w:tcPr>
                  <w:tcW w:w="1215" w:type="dxa"/>
                  <w:vAlign w:val="center"/>
                </w:tcPr>
                <w:p>
                  <w:pPr>
                    <w:spacing w:line="360" w:lineRule="auto"/>
                    <w:jc w:val="center"/>
                    <w:rPr>
                      <w:sz w:val="24"/>
                      <w:szCs w:val="24"/>
                      <w:shd w:val="clear" w:color="auto" w:fill="FFFFFF"/>
                    </w:rPr>
                  </w:pPr>
                  <w:r>
                    <w:rPr>
                      <w:rFonts w:hint="eastAsia"/>
                      <w:sz w:val="24"/>
                      <w:szCs w:val="24"/>
                      <w:shd w:val="clear" w:color="auto" w:fill="FFFFFF"/>
                    </w:rPr>
                    <w:t>无变更</w:t>
                  </w:r>
                </w:p>
              </w:tc>
              <w:tc>
                <w:tcPr>
                  <w:tcW w:w="975" w:type="dxa"/>
                  <w:tcBorders>
                    <w:right w:val="nil"/>
                  </w:tcBorders>
                  <w:vAlign w:val="center"/>
                </w:tcPr>
                <w:p>
                  <w:pPr>
                    <w:spacing w:line="360" w:lineRule="auto"/>
                    <w:jc w:val="center"/>
                    <w:rPr>
                      <w:sz w:val="24"/>
                      <w:szCs w:val="24"/>
                      <w:shd w:val="clear" w:color="auto" w:fill="FFFFFF"/>
                    </w:rPr>
                  </w:pPr>
                  <w:r>
                    <w:rPr>
                      <w:rFonts w:hint="eastAsia"/>
                      <w:sz w:val="24"/>
                      <w:szCs w:val="24"/>
                      <w:shd w:val="clear" w:color="auto" w:fill="FFFFFF"/>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5" w:type="dxa"/>
                  <w:tcBorders>
                    <w:left w:val="nil"/>
                  </w:tcBorders>
                  <w:vAlign w:val="center"/>
                </w:tcPr>
                <w:p>
                  <w:pPr>
                    <w:spacing w:line="360" w:lineRule="auto"/>
                    <w:jc w:val="center"/>
                    <w:rPr>
                      <w:sz w:val="24"/>
                      <w:szCs w:val="24"/>
                      <w:shd w:val="clear" w:color="auto" w:fill="FFFFFF"/>
                    </w:rPr>
                  </w:pPr>
                  <w:r>
                    <w:rPr>
                      <w:rFonts w:hint="eastAsia"/>
                      <w:sz w:val="24"/>
                      <w:szCs w:val="24"/>
                      <w:shd w:val="clear" w:color="auto" w:fill="FFFFFF"/>
                    </w:rPr>
                    <w:t>7</w:t>
                  </w:r>
                </w:p>
              </w:tc>
              <w:tc>
                <w:tcPr>
                  <w:tcW w:w="2835" w:type="dxa"/>
                  <w:vAlign w:val="center"/>
                </w:tcPr>
                <w:p>
                  <w:pPr>
                    <w:spacing w:line="360" w:lineRule="auto"/>
                    <w:jc w:val="center"/>
                    <w:rPr>
                      <w:sz w:val="24"/>
                      <w:szCs w:val="24"/>
                      <w:shd w:val="clear" w:color="auto" w:fill="FFFFFF"/>
                    </w:rPr>
                  </w:pPr>
                  <w:r>
                    <w:rPr>
                      <w:rFonts w:hint="eastAsia"/>
                      <w:sz w:val="24"/>
                      <w:szCs w:val="24"/>
                      <w:shd w:val="clear" w:color="auto" w:fill="FFFFFF"/>
                    </w:rPr>
                    <w:t>因输变电工程路径、站址等发生变化，导致进入新的自然保护区、风景名胜区、饮用水水源保护区等生态敏感区。</w:t>
                  </w:r>
                </w:p>
              </w:tc>
              <w:tc>
                <w:tcPr>
                  <w:tcW w:w="1665" w:type="dxa"/>
                  <w:vAlign w:val="center"/>
                </w:tcPr>
                <w:p>
                  <w:pPr>
                    <w:spacing w:line="360" w:lineRule="auto"/>
                    <w:jc w:val="center"/>
                    <w:rPr>
                      <w:sz w:val="24"/>
                      <w:szCs w:val="24"/>
                      <w:shd w:val="clear" w:color="auto" w:fill="FFFFFF"/>
                    </w:rPr>
                  </w:pPr>
                  <w:r>
                    <w:rPr>
                      <w:rFonts w:hint="eastAsia"/>
                      <w:sz w:val="24"/>
                      <w:szCs w:val="24"/>
                      <w:shd w:val="clear" w:color="auto" w:fill="FFFFFF"/>
                    </w:rPr>
                    <w:t>未进入生态敏感区</w:t>
                  </w:r>
                </w:p>
              </w:tc>
              <w:tc>
                <w:tcPr>
                  <w:tcW w:w="1680" w:type="dxa"/>
                  <w:vAlign w:val="center"/>
                </w:tcPr>
                <w:p>
                  <w:pPr>
                    <w:spacing w:line="360" w:lineRule="auto"/>
                    <w:jc w:val="center"/>
                    <w:rPr>
                      <w:sz w:val="24"/>
                      <w:szCs w:val="24"/>
                      <w:shd w:val="clear" w:color="auto" w:fill="FFFFFF"/>
                    </w:rPr>
                  </w:pPr>
                  <w:r>
                    <w:rPr>
                      <w:rFonts w:hint="eastAsia"/>
                      <w:sz w:val="24"/>
                      <w:szCs w:val="24"/>
                      <w:shd w:val="clear" w:color="auto" w:fill="FFFFFF"/>
                    </w:rPr>
                    <w:t>未进入生态敏感区</w:t>
                  </w:r>
                </w:p>
              </w:tc>
              <w:tc>
                <w:tcPr>
                  <w:tcW w:w="1215" w:type="dxa"/>
                  <w:vAlign w:val="center"/>
                </w:tcPr>
                <w:p>
                  <w:pPr>
                    <w:spacing w:line="360" w:lineRule="auto"/>
                    <w:jc w:val="center"/>
                    <w:rPr>
                      <w:sz w:val="24"/>
                      <w:szCs w:val="24"/>
                      <w:shd w:val="clear" w:color="auto" w:fill="FFFFFF"/>
                    </w:rPr>
                  </w:pPr>
                  <w:r>
                    <w:rPr>
                      <w:rFonts w:hint="eastAsia"/>
                      <w:sz w:val="24"/>
                      <w:szCs w:val="24"/>
                      <w:shd w:val="clear" w:color="auto" w:fill="FFFFFF"/>
                    </w:rPr>
                    <w:t>无变更</w:t>
                  </w:r>
                </w:p>
              </w:tc>
              <w:tc>
                <w:tcPr>
                  <w:tcW w:w="975" w:type="dxa"/>
                  <w:tcBorders>
                    <w:right w:val="nil"/>
                  </w:tcBorders>
                  <w:vAlign w:val="center"/>
                </w:tcPr>
                <w:p>
                  <w:pPr>
                    <w:spacing w:line="360" w:lineRule="auto"/>
                    <w:jc w:val="center"/>
                    <w:rPr>
                      <w:sz w:val="24"/>
                      <w:szCs w:val="24"/>
                      <w:shd w:val="clear" w:color="auto" w:fill="FFFFFF"/>
                    </w:rPr>
                  </w:pPr>
                  <w:r>
                    <w:rPr>
                      <w:rFonts w:hint="eastAsia"/>
                      <w:sz w:val="24"/>
                      <w:szCs w:val="24"/>
                      <w:shd w:val="clear" w:color="auto" w:fill="FFFFFF"/>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5" w:type="dxa"/>
                  <w:tcBorders>
                    <w:left w:val="nil"/>
                  </w:tcBorders>
                  <w:vAlign w:val="center"/>
                </w:tcPr>
                <w:p>
                  <w:pPr>
                    <w:spacing w:line="360" w:lineRule="auto"/>
                    <w:jc w:val="center"/>
                    <w:rPr>
                      <w:sz w:val="24"/>
                      <w:szCs w:val="24"/>
                      <w:shd w:val="clear" w:color="auto" w:fill="FFFFFF"/>
                    </w:rPr>
                  </w:pPr>
                  <w:r>
                    <w:rPr>
                      <w:rFonts w:hint="eastAsia"/>
                      <w:sz w:val="24"/>
                      <w:szCs w:val="24"/>
                      <w:shd w:val="clear" w:color="auto" w:fill="FFFFFF"/>
                    </w:rPr>
                    <w:t>8</w:t>
                  </w:r>
                </w:p>
              </w:tc>
              <w:tc>
                <w:tcPr>
                  <w:tcW w:w="2835" w:type="dxa"/>
                  <w:vAlign w:val="center"/>
                </w:tcPr>
                <w:p>
                  <w:pPr>
                    <w:spacing w:line="360" w:lineRule="auto"/>
                    <w:jc w:val="center"/>
                    <w:rPr>
                      <w:sz w:val="24"/>
                      <w:szCs w:val="24"/>
                      <w:shd w:val="clear" w:color="auto" w:fill="FFFFFF"/>
                    </w:rPr>
                  </w:pPr>
                  <w:r>
                    <w:rPr>
                      <w:rFonts w:hint="eastAsia"/>
                      <w:sz w:val="24"/>
                      <w:szCs w:val="24"/>
                      <w:shd w:val="clear" w:color="auto" w:fill="FFFFFF"/>
                    </w:rPr>
                    <w:t>输电线路由地下电缆改为架空线路。</w:t>
                  </w:r>
                </w:p>
              </w:tc>
              <w:tc>
                <w:tcPr>
                  <w:tcW w:w="1665" w:type="dxa"/>
                  <w:vAlign w:val="center"/>
                </w:tcPr>
                <w:p>
                  <w:pPr>
                    <w:spacing w:line="360" w:lineRule="auto"/>
                    <w:jc w:val="center"/>
                    <w:rPr>
                      <w:sz w:val="24"/>
                      <w:szCs w:val="24"/>
                      <w:shd w:val="clear" w:color="auto" w:fill="FFFFFF"/>
                    </w:rPr>
                  </w:pPr>
                  <w:r>
                    <w:rPr>
                      <w:rFonts w:hint="eastAsia"/>
                      <w:sz w:val="24"/>
                      <w:szCs w:val="24"/>
                      <w:shd w:val="clear" w:color="auto" w:fill="FFFFFF"/>
                    </w:rPr>
                    <w:t>不涉及</w:t>
                  </w:r>
                </w:p>
              </w:tc>
              <w:tc>
                <w:tcPr>
                  <w:tcW w:w="1680" w:type="dxa"/>
                  <w:vAlign w:val="center"/>
                </w:tcPr>
                <w:p>
                  <w:pPr>
                    <w:spacing w:line="360" w:lineRule="auto"/>
                    <w:jc w:val="center"/>
                    <w:rPr>
                      <w:sz w:val="24"/>
                      <w:szCs w:val="24"/>
                      <w:shd w:val="clear" w:color="auto" w:fill="FFFFFF"/>
                    </w:rPr>
                  </w:pPr>
                  <w:r>
                    <w:rPr>
                      <w:rFonts w:hint="eastAsia"/>
                      <w:sz w:val="24"/>
                      <w:szCs w:val="24"/>
                      <w:shd w:val="clear" w:color="auto" w:fill="FFFFFF"/>
                    </w:rPr>
                    <w:t>不涉及</w:t>
                  </w:r>
                </w:p>
              </w:tc>
              <w:tc>
                <w:tcPr>
                  <w:tcW w:w="1215" w:type="dxa"/>
                  <w:vAlign w:val="center"/>
                </w:tcPr>
                <w:p>
                  <w:pPr>
                    <w:spacing w:line="360" w:lineRule="auto"/>
                    <w:jc w:val="center"/>
                    <w:rPr>
                      <w:sz w:val="24"/>
                      <w:szCs w:val="24"/>
                      <w:shd w:val="clear" w:color="auto" w:fill="FFFFFF"/>
                    </w:rPr>
                  </w:pPr>
                  <w:r>
                    <w:rPr>
                      <w:rFonts w:hint="eastAsia"/>
                      <w:sz w:val="24"/>
                      <w:szCs w:val="24"/>
                      <w:shd w:val="clear" w:color="auto" w:fill="FFFFFF"/>
                    </w:rPr>
                    <w:t>无变更</w:t>
                  </w:r>
                </w:p>
              </w:tc>
              <w:tc>
                <w:tcPr>
                  <w:tcW w:w="975" w:type="dxa"/>
                  <w:tcBorders>
                    <w:right w:val="nil"/>
                  </w:tcBorders>
                  <w:vAlign w:val="center"/>
                </w:tcPr>
                <w:p>
                  <w:pPr>
                    <w:spacing w:line="360" w:lineRule="auto"/>
                    <w:jc w:val="center"/>
                    <w:rPr>
                      <w:sz w:val="24"/>
                      <w:szCs w:val="24"/>
                      <w:shd w:val="clear" w:color="auto" w:fill="FFFFFF"/>
                    </w:rPr>
                  </w:pPr>
                  <w:r>
                    <w:rPr>
                      <w:rFonts w:hint="eastAsia"/>
                      <w:sz w:val="24"/>
                      <w:szCs w:val="24"/>
                      <w:shd w:val="clear" w:color="auto" w:fill="FFFFFF"/>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5" w:type="dxa"/>
                  <w:tcBorders>
                    <w:left w:val="nil"/>
                  </w:tcBorders>
                  <w:vAlign w:val="center"/>
                </w:tcPr>
                <w:p>
                  <w:pPr>
                    <w:spacing w:line="360" w:lineRule="auto"/>
                    <w:jc w:val="center"/>
                    <w:rPr>
                      <w:sz w:val="24"/>
                      <w:szCs w:val="24"/>
                      <w:shd w:val="clear" w:color="auto" w:fill="FFFFFF"/>
                    </w:rPr>
                  </w:pPr>
                  <w:r>
                    <w:rPr>
                      <w:rFonts w:hint="eastAsia"/>
                      <w:sz w:val="24"/>
                      <w:szCs w:val="24"/>
                      <w:shd w:val="clear" w:color="auto" w:fill="FFFFFF"/>
                    </w:rPr>
                    <w:t>9</w:t>
                  </w:r>
                </w:p>
              </w:tc>
              <w:tc>
                <w:tcPr>
                  <w:tcW w:w="2835" w:type="dxa"/>
                  <w:vAlign w:val="center"/>
                </w:tcPr>
                <w:p>
                  <w:pPr>
                    <w:spacing w:line="360" w:lineRule="auto"/>
                    <w:jc w:val="center"/>
                    <w:rPr>
                      <w:sz w:val="24"/>
                      <w:szCs w:val="24"/>
                      <w:shd w:val="clear" w:color="auto" w:fill="FFFFFF"/>
                    </w:rPr>
                  </w:pPr>
                  <w:r>
                    <w:rPr>
                      <w:rFonts w:hint="eastAsia"/>
                      <w:sz w:val="24"/>
                      <w:szCs w:val="24"/>
                      <w:shd w:val="clear" w:color="auto" w:fill="FFFFFF"/>
                    </w:rPr>
                    <w:t>输电线路同塔多回架设改为多条线路架设累计长度超过原路径长度的30%。</w:t>
                  </w:r>
                </w:p>
              </w:tc>
              <w:tc>
                <w:tcPr>
                  <w:tcW w:w="1665" w:type="dxa"/>
                  <w:vAlign w:val="center"/>
                </w:tcPr>
                <w:p>
                  <w:pPr>
                    <w:spacing w:line="360" w:lineRule="auto"/>
                    <w:jc w:val="center"/>
                    <w:rPr>
                      <w:sz w:val="24"/>
                      <w:szCs w:val="24"/>
                      <w:shd w:val="clear" w:color="auto" w:fill="FFFFFF"/>
                    </w:rPr>
                  </w:pPr>
                  <w:r>
                    <w:rPr>
                      <w:rFonts w:hint="eastAsia"/>
                      <w:sz w:val="24"/>
                      <w:szCs w:val="24"/>
                      <w:shd w:val="clear" w:color="auto" w:fill="FFFFFF"/>
                    </w:rPr>
                    <w:t>不涉及</w:t>
                  </w:r>
                </w:p>
              </w:tc>
              <w:tc>
                <w:tcPr>
                  <w:tcW w:w="1680" w:type="dxa"/>
                  <w:vAlign w:val="center"/>
                </w:tcPr>
                <w:p>
                  <w:pPr>
                    <w:spacing w:line="360" w:lineRule="auto"/>
                    <w:jc w:val="center"/>
                    <w:rPr>
                      <w:sz w:val="24"/>
                      <w:szCs w:val="24"/>
                      <w:shd w:val="clear" w:color="auto" w:fill="FFFFFF"/>
                    </w:rPr>
                  </w:pPr>
                  <w:r>
                    <w:rPr>
                      <w:rFonts w:hint="eastAsia"/>
                      <w:sz w:val="24"/>
                      <w:szCs w:val="24"/>
                      <w:shd w:val="clear" w:color="auto" w:fill="FFFFFF"/>
                    </w:rPr>
                    <w:t>不涉及</w:t>
                  </w:r>
                </w:p>
              </w:tc>
              <w:tc>
                <w:tcPr>
                  <w:tcW w:w="1215" w:type="dxa"/>
                  <w:vAlign w:val="center"/>
                </w:tcPr>
                <w:p>
                  <w:pPr>
                    <w:spacing w:line="360" w:lineRule="auto"/>
                    <w:jc w:val="center"/>
                    <w:rPr>
                      <w:sz w:val="24"/>
                      <w:szCs w:val="24"/>
                      <w:shd w:val="clear" w:color="auto" w:fill="FFFFFF"/>
                    </w:rPr>
                  </w:pPr>
                  <w:r>
                    <w:rPr>
                      <w:rFonts w:hint="eastAsia"/>
                      <w:sz w:val="24"/>
                      <w:szCs w:val="24"/>
                      <w:shd w:val="clear" w:color="auto" w:fill="FFFFFF"/>
                    </w:rPr>
                    <w:t>无变更</w:t>
                  </w:r>
                </w:p>
              </w:tc>
              <w:tc>
                <w:tcPr>
                  <w:tcW w:w="975" w:type="dxa"/>
                  <w:tcBorders>
                    <w:right w:val="nil"/>
                  </w:tcBorders>
                  <w:vAlign w:val="center"/>
                </w:tcPr>
                <w:p>
                  <w:pPr>
                    <w:spacing w:line="360" w:lineRule="auto"/>
                    <w:jc w:val="center"/>
                    <w:rPr>
                      <w:sz w:val="24"/>
                      <w:szCs w:val="24"/>
                      <w:shd w:val="clear" w:color="auto" w:fill="FFFFFF"/>
                    </w:rPr>
                  </w:pPr>
                  <w:r>
                    <w:rPr>
                      <w:rFonts w:hint="eastAsia"/>
                      <w:sz w:val="24"/>
                      <w:szCs w:val="24"/>
                      <w:shd w:val="clear" w:color="auto" w:fill="FFFFFF"/>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5" w:type="dxa"/>
                  <w:tcBorders>
                    <w:left w:val="nil"/>
                    <w:bottom w:val="single" w:color="auto" w:sz="12" w:space="0"/>
                  </w:tcBorders>
                  <w:vAlign w:val="center"/>
                </w:tcPr>
                <w:p>
                  <w:pPr>
                    <w:spacing w:line="360" w:lineRule="auto"/>
                    <w:jc w:val="center"/>
                    <w:rPr>
                      <w:sz w:val="24"/>
                      <w:szCs w:val="24"/>
                      <w:shd w:val="clear" w:color="auto" w:fill="FFFFFF"/>
                    </w:rPr>
                  </w:pPr>
                  <w:r>
                    <w:rPr>
                      <w:rFonts w:hint="eastAsia"/>
                      <w:sz w:val="24"/>
                      <w:szCs w:val="24"/>
                      <w:shd w:val="clear" w:color="auto" w:fill="FFFFFF"/>
                    </w:rPr>
                    <w:t>10</w:t>
                  </w:r>
                </w:p>
              </w:tc>
              <w:tc>
                <w:tcPr>
                  <w:tcW w:w="2835" w:type="dxa"/>
                  <w:tcBorders>
                    <w:bottom w:val="single" w:color="auto" w:sz="12" w:space="0"/>
                  </w:tcBorders>
                  <w:vAlign w:val="center"/>
                </w:tcPr>
                <w:p>
                  <w:pPr>
                    <w:spacing w:line="360" w:lineRule="auto"/>
                    <w:jc w:val="center"/>
                    <w:rPr>
                      <w:sz w:val="24"/>
                      <w:szCs w:val="24"/>
                      <w:shd w:val="clear" w:color="auto" w:fill="FFFFFF"/>
                    </w:rPr>
                  </w:pPr>
                  <w:r>
                    <w:rPr>
                      <w:rFonts w:hint="eastAsia"/>
                      <w:sz w:val="24"/>
                      <w:szCs w:val="24"/>
                      <w:shd w:val="clear" w:color="auto" w:fill="FFFFFF"/>
                    </w:rPr>
                    <w:t>输电线路横向位移超出500米的累计长度超过原路径长度的30%。</w:t>
                  </w:r>
                </w:p>
              </w:tc>
              <w:tc>
                <w:tcPr>
                  <w:tcW w:w="1665" w:type="dxa"/>
                  <w:tcBorders>
                    <w:bottom w:val="single" w:color="auto" w:sz="12" w:space="0"/>
                  </w:tcBorders>
                  <w:vAlign w:val="center"/>
                </w:tcPr>
                <w:p>
                  <w:pPr>
                    <w:spacing w:line="360" w:lineRule="auto"/>
                    <w:jc w:val="center"/>
                    <w:rPr>
                      <w:sz w:val="24"/>
                      <w:szCs w:val="24"/>
                      <w:shd w:val="clear" w:color="auto" w:fill="FFFFFF"/>
                    </w:rPr>
                  </w:pPr>
                  <w:r>
                    <w:rPr>
                      <w:rFonts w:hint="eastAsia"/>
                      <w:sz w:val="24"/>
                      <w:szCs w:val="24"/>
                      <w:shd w:val="clear" w:color="auto" w:fill="FFFFFF"/>
                    </w:rPr>
                    <w:t>不涉及</w:t>
                  </w:r>
                </w:p>
              </w:tc>
              <w:tc>
                <w:tcPr>
                  <w:tcW w:w="1680" w:type="dxa"/>
                  <w:tcBorders>
                    <w:bottom w:val="single" w:color="auto" w:sz="12" w:space="0"/>
                  </w:tcBorders>
                  <w:vAlign w:val="center"/>
                </w:tcPr>
                <w:p>
                  <w:pPr>
                    <w:spacing w:line="360" w:lineRule="auto"/>
                    <w:jc w:val="center"/>
                    <w:rPr>
                      <w:sz w:val="24"/>
                      <w:szCs w:val="24"/>
                      <w:shd w:val="clear" w:color="auto" w:fill="FFFFFF"/>
                    </w:rPr>
                  </w:pPr>
                  <w:r>
                    <w:rPr>
                      <w:rFonts w:hint="eastAsia"/>
                      <w:sz w:val="24"/>
                      <w:szCs w:val="24"/>
                      <w:shd w:val="clear" w:color="auto" w:fill="FFFFFF"/>
                    </w:rPr>
                    <w:t>不涉及</w:t>
                  </w:r>
                </w:p>
              </w:tc>
              <w:tc>
                <w:tcPr>
                  <w:tcW w:w="1215" w:type="dxa"/>
                  <w:tcBorders>
                    <w:bottom w:val="single" w:color="auto" w:sz="12" w:space="0"/>
                  </w:tcBorders>
                  <w:vAlign w:val="center"/>
                </w:tcPr>
                <w:p>
                  <w:pPr>
                    <w:spacing w:line="360" w:lineRule="auto"/>
                    <w:jc w:val="center"/>
                    <w:rPr>
                      <w:sz w:val="24"/>
                      <w:szCs w:val="24"/>
                      <w:shd w:val="clear" w:color="auto" w:fill="FFFFFF"/>
                    </w:rPr>
                  </w:pPr>
                  <w:r>
                    <w:rPr>
                      <w:rFonts w:hint="eastAsia"/>
                      <w:sz w:val="24"/>
                      <w:szCs w:val="24"/>
                      <w:shd w:val="clear" w:color="auto" w:fill="FFFFFF"/>
                    </w:rPr>
                    <w:t>无变更</w:t>
                  </w:r>
                </w:p>
              </w:tc>
              <w:tc>
                <w:tcPr>
                  <w:tcW w:w="975" w:type="dxa"/>
                  <w:tcBorders>
                    <w:bottom w:val="single" w:color="auto" w:sz="12" w:space="0"/>
                    <w:right w:val="nil"/>
                  </w:tcBorders>
                  <w:vAlign w:val="center"/>
                </w:tcPr>
                <w:p>
                  <w:pPr>
                    <w:spacing w:line="360" w:lineRule="auto"/>
                    <w:jc w:val="center"/>
                    <w:rPr>
                      <w:sz w:val="24"/>
                      <w:szCs w:val="24"/>
                      <w:shd w:val="clear" w:color="auto" w:fill="FFFFFF"/>
                    </w:rPr>
                  </w:pPr>
                  <w:r>
                    <w:rPr>
                      <w:rFonts w:hint="eastAsia"/>
                      <w:sz w:val="24"/>
                      <w:szCs w:val="24"/>
                      <w:shd w:val="clear" w:color="auto" w:fill="FFFFFF"/>
                    </w:rPr>
                    <w:t>否</w:t>
                  </w:r>
                </w:p>
              </w:tc>
            </w:tr>
          </w:tbl>
          <w:p>
            <w:pPr>
              <w:spacing w:line="360" w:lineRule="auto"/>
              <w:rPr>
                <w:b/>
                <w:sz w:val="24"/>
                <w:szCs w:val="24"/>
              </w:rPr>
            </w:pPr>
          </w:p>
        </w:tc>
      </w:tr>
    </w:tbl>
    <w:p>
      <w:pPr>
        <w:rPr>
          <w:b/>
          <w:sz w:val="32"/>
          <w:szCs w:val="32"/>
        </w:rPr>
        <w:sectPr>
          <w:pgSz w:w="11906" w:h="16838"/>
          <w:pgMar w:top="1440" w:right="1800" w:bottom="1440" w:left="1800" w:header="851" w:footer="992" w:gutter="0"/>
          <w:cols w:space="720" w:num="1"/>
          <w:docGrid w:type="lines" w:linePitch="312" w:charSpace="0"/>
        </w:sectPr>
      </w:pPr>
    </w:p>
    <w:p>
      <w:pPr>
        <w:pStyle w:val="2"/>
        <w:spacing w:before="0" w:after="0" w:line="360" w:lineRule="auto"/>
        <w:rPr>
          <w:b w:val="0"/>
          <w:sz w:val="32"/>
          <w:szCs w:val="32"/>
        </w:rPr>
      </w:pPr>
      <w:bookmarkStart w:id="6" w:name="_Toc483476023"/>
      <w:r>
        <w:rPr>
          <w:rFonts w:hint="eastAsia" w:ascii="宋体" w:hAnsi="宋体"/>
          <w:sz w:val="32"/>
          <w:szCs w:val="32"/>
        </w:rPr>
        <w:t>表五 环境影响评价回顾</w:t>
      </w:r>
      <w:bookmarkEnd w:id="6"/>
    </w:p>
    <w:tbl>
      <w:tblPr>
        <w:tblStyle w:val="17"/>
        <w:tblW w:w="908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382" w:hRule="atLeast"/>
          <w:jc w:val="center"/>
        </w:trPr>
        <w:tc>
          <w:tcPr>
            <w:tcW w:w="9089" w:type="dxa"/>
            <w:tcBorders>
              <w:top w:val="single" w:color="auto" w:sz="12" w:space="0"/>
              <w:left w:val="single" w:color="auto" w:sz="12" w:space="0"/>
              <w:bottom w:val="single" w:color="auto" w:sz="12" w:space="0"/>
              <w:right w:val="single" w:color="auto" w:sz="12" w:space="0"/>
            </w:tcBorders>
          </w:tcPr>
          <w:p>
            <w:pPr>
              <w:spacing w:line="360" w:lineRule="auto"/>
              <w:rPr>
                <w:sz w:val="24"/>
                <w:szCs w:val="24"/>
              </w:rPr>
            </w:pPr>
            <w:r>
              <w:rPr>
                <w:rFonts w:hint="eastAsia"/>
                <w:b/>
                <w:bCs/>
                <w:spacing w:val="-4"/>
                <w:sz w:val="24"/>
                <w:szCs w:val="24"/>
              </w:rPr>
              <w:t>5.1、环境影响评价的主要环境影响预测及结论</w:t>
            </w:r>
          </w:p>
          <w:p>
            <w:pPr>
              <w:spacing w:line="360" w:lineRule="auto"/>
              <w:ind w:firstLine="480" w:firstLineChars="200"/>
              <w:rPr>
                <w:sz w:val="24"/>
                <w:szCs w:val="24"/>
              </w:rPr>
            </w:pPr>
            <w:r>
              <w:rPr>
                <w:rFonts w:hint="eastAsia"/>
                <w:sz w:val="24"/>
                <w:szCs w:val="24"/>
              </w:rPr>
              <w:t>根据本工程的性质，主要环境影响有生态环境影响、电磁环境、声环境影响、水环境影响以及固体废物等。从环境影响报告表中可以得出，本项目建设符合当地社会经济发展规划，符合当地产业政策。本项目所在区域环境质量现状满足环评要求，无环境制约因素。本项目为110千伏输变电工程，采用的技术成熟、可靠，工艺符合清洁生产要求。本项目建设符合国家产业政策和平武县电网规划；变电站选址合理；项目对建设区域的电磁环境影响能满足相应控制标准要求；在采取相应的环保措施后，能缓解或消除工程建设可能产生的电磁环境影响问题；从电磁环境保护角度分析，龙安 110 千伏输变电新建工程按选定的站址建设是可行的。</w:t>
            </w:r>
          </w:p>
          <w:p>
            <w:pPr>
              <w:spacing w:line="360" w:lineRule="auto"/>
              <w:rPr>
                <w:b/>
                <w:sz w:val="24"/>
                <w:szCs w:val="24"/>
              </w:rPr>
            </w:pPr>
            <w:r>
              <w:rPr>
                <w:rFonts w:hint="eastAsia"/>
                <w:b/>
                <w:sz w:val="24"/>
                <w:szCs w:val="24"/>
              </w:rPr>
              <w:t>5.2 环境影响评价文件审批意见</w:t>
            </w:r>
          </w:p>
          <w:p>
            <w:pPr>
              <w:spacing w:line="360" w:lineRule="auto"/>
              <w:ind w:firstLine="480" w:firstLineChars="200"/>
              <w:rPr>
                <w:sz w:val="24"/>
              </w:rPr>
            </w:pPr>
            <w:r>
              <w:rPr>
                <w:rFonts w:hint="eastAsia"/>
                <w:bCs/>
                <w:sz w:val="24"/>
              </w:rPr>
              <w:t>平武县发展改革和经济商务局以《关于平武县龙安35kV变电站灾后恢复重建改造工程初步设计（代立项）的批复》（平发改[2008]266号）</w:t>
            </w:r>
            <w:r>
              <w:rPr>
                <w:sz w:val="24"/>
              </w:rPr>
              <w:t>同意</w:t>
            </w:r>
            <w:r>
              <w:rPr>
                <w:rFonts w:hint="eastAsia"/>
                <w:sz w:val="24"/>
              </w:rPr>
              <w:t>项目立项</w:t>
            </w:r>
            <w:r>
              <w:rPr>
                <w:sz w:val="24"/>
              </w:rPr>
              <w:t>，符合</w:t>
            </w:r>
            <w:r>
              <w:rPr>
                <w:rFonts w:hint="eastAsia"/>
                <w:sz w:val="24"/>
              </w:rPr>
              <w:t>平武县灾后恢复重建</w:t>
            </w:r>
            <w:r>
              <w:rPr>
                <w:sz w:val="24"/>
              </w:rPr>
              <w:t>电</w:t>
            </w:r>
            <w:r>
              <w:rPr>
                <w:rFonts w:hint="eastAsia"/>
                <w:sz w:val="24"/>
              </w:rPr>
              <w:t>力规</w:t>
            </w:r>
            <w:r>
              <w:rPr>
                <w:sz w:val="24"/>
              </w:rPr>
              <w:t>划。</w:t>
            </w:r>
          </w:p>
          <w:p>
            <w:pPr>
              <w:spacing w:line="360" w:lineRule="auto"/>
              <w:ind w:firstLine="480" w:firstLineChars="200"/>
              <w:rPr>
                <w:sz w:val="24"/>
              </w:rPr>
            </w:pPr>
            <w:r>
              <w:rPr>
                <w:sz w:val="24"/>
              </w:rPr>
              <w:t>本项目为电力基础设施建设，属国家发展改革委《国家发展改革委关于修改&lt;产业结构调整指导目录（2011年本）&gt;有关条款的决定》（国家发展改革委2013年第21号令）中的第一类鼓励类项目（电网改造与建设），符合国家产业政策。</w:t>
            </w:r>
          </w:p>
          <w:p>
            <w:pPr>
              <w:spacing w:line="360" w:lineRule="auto"/>
              <w:ind w:firstLine="480" w:firstLineChars="200"/>
              <w:rPr>
                <w:b/>
                <w:bCs/>
                <w:spacing w:val="-4"/>
                <w:sz w:val="24"/>
                <w:szCs w:val="24"/>
              </w:rPr>
            </w:pPr>
            <w:r>
              <w:rPr>
                <w:rFonts w:hint="eastAsia"/>
                <w:sz w:val="24"/>
              </w:rPr>
              <w:t>该项目在严格落实报告表提出的环境保护措施后，工频电场、工频磁场及噪声能满足环评相关标准要求，不利环境影响可得到有效缓解和控制。因此，我局同意你公司按照报告表中所列建设项目的性质、站址、规模、采用的建设方案、环境保护对策措施及相关要求进行项目建设。</w:t>
            </w:r>
          </w:p>
        </w:tc>
      </w:tr>
    </w:tbl>
    <w:p>
      <w:pPr>
        <w:rPr>
          <w:b/>
          <w:sz w:val="32"/>
          <w:szCs w:val="32"/>
        </w:rPr>
        <w:sectPr>
          <w:pgSz w:w="11906" w:h="16838"/>
          <w:pgMar w:top="1440" w:right="1800" w:bottom="1440" w:left="1800" w:header="851" w:footer="992" w:gutter="0"/>
          <w:cols w:space="720" w:num="1"/>
          <w:docGrid w:type="lines" w:linePitch="312" w:charSpace="0"/>
        </w:sectPr>
      </w:pPr>
    </w:p>
    <w:p>
      <w:pPr>
        <w:pStyle w:val="2"/>
        <w:spacing w:before="0" w:after="0" w:line="360" w:lineRule="auto"/>
        <w:rPr>
          <w:rFonts w:ascii="宋体" w:hAnsi="宋体"/>
          <w:sz w:val="32"/>
          <w:szCs w:val="32"/>
        </w:rPr>
      </w:pPr>
      <w:bookmarkStart w:id="7" w:name="_Toc483476024"/>
      <w:r>
        <w:rPr>
          <w:rFonts w:hint="eastAsia" w:ascii="宋体" w:hAnsi="宋体"/>
          <w:sz w:val="32"/>
          <w:szCs w:val="32"/>
        </w:rPr>
        <w:t>表六 环境保护措施执行情况</w:t>
      </w:r>
      <w:bookmarkEnd w:id="7"/>
    </w:p>
    <w:tbl>
      <w:tblPr>
        <w:tblStyle w:val="17"/>
        <w:tblW w:w="940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
        <w:gridCol w:w="811"/>
        <w:gridCol w:w="5305"/>
        <w:gridCol w:w="26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50" w:hRule="atLeast"/>
          <w:tblHeader/>
          <w:jc w:val="center"/>
        </w:trPr>
        <w:tc>
          <w:tcPr>
            <w:tcW w:w="595" w:type="dxa"/>
            <w:tcBorders>
              <w:top w:val="single" w:color="auto" w:sz="12" w:space="0"/>
              <w:left w:val="single" w:color="auto" w:sz="12" w:space="0"/>
              <w:bottom w:val="single" w:color="auto" w:sz="4" w:space="0"/>
              <w:right w:val="single" w:color="auto" w:sz="2" w:space="0"/>
            </w:tcBorders>
          </w:tcPr>
          <w:p>
            <w:pPr>
              <w:jc w:val="center"/>
              <w:rPr>
                <w:b/>
                <w:bCs/>
                <w:spacing w:val="-4"/>
                <w:sz w:val="24"/>
                <w:szCs w:val="24"/>
              </w:rPr>
            </w:pPr>
            <w:r>
              <w:rPr>
                <w:rFonts w:hint="eastAsia"/>
                <w:b/>
                <w:bCs/>
                <w:spacing w:val="-4"/>
                <w:sz w:val="24"/>
                <w:szCs w:val="24"/>
              </w:rPr>
              <w:t>阶</w:t>
            </w:r>
          </w:p>
          <w:p>
            <w:pPr>
              <w:jc w:val="center"/>
              <w:rPr>
                <w:b/>
                <w:bCs/>
                <w:spacing w:val="-4"/>
                <w:sz w:val="24"/>
                <w:szCs w:val="24"/>
              </w:rPr>
            </w:pPr>
            <w:r>
              <w:rPr>
                <w:rFonts w:hint="eastAsia"/>
                <w:b/>
                <w:bCs/>
                <w:spacing w:val="-4"/>
                <w:sz w:val="24"/>
                <w:szCs w:val="24"/>
              </w:rPr>
              <w:t>段</w:t>
            </w:r>
          </w:p>
        </w:tc>
        <w:tc>
          <w:tcPr>
            <w:tcW w:w="811" w:type="dxa"/>
            <w:tcBorders>
              <w:top w:val="single" w:color="auto" w:sz="12" w:space="0"/>
              <w:left w:val="single" w:color="auto" w:sz="2" w:space="0"/>
              <w:bottom w:val="single" w:color="auto" w:sz="4" w:space="0"/>
              <w:right w:val="single" w:color="auto" w:sz="2" w:space="0"/>
            </w:tcBorders>
          </w:tcPr>
          <w:p>
            <w:pPr>
              <w:jc w:val="center"/>
              <w:rPr>
                <w:b/>
                <w:bCs/>
                <w:spacing w:val="-4"/>
                <w:sz w:val="24"/>
                <w:szCs w:val="24"/>
              </w:rPr>
            </w:pPr>
            <w:r>
              <w:rPr>
                <w:rFonts w:hint="eastAsia"/>
                <w:b/>
                <w:bCs/>
                <w:spacing w:val="-4"/>
                <w:sz w:val="24"/>
                <w:szCs w:val="24"/>
              </w:rPr>
              <w:t>影响</w:t>
            </w:r>
          </w:p>
          <w:p>
            <w:pPr>
              <w:jc w:val="center"/>
              <w:rPr>
                <w:b/>
                <w:bCs/>
                <w:spacing w:val="-4"/>
                <w:sz w:val="24"/>
                <w:szCs w:val="24"/>
              </w:rPr>
            </w:pPr>
            <w:r>
              <w:rPr>
                <w:rFonts w:hint="eastAsia"/>
                <w:b/>
                <w:bCs/>
                <w:spacing w:val="-4"/>
                <w:sz w:val="24"/>
                <w:szCs w:val="24"/>
              </w:rPr>
              <w:t>类别</w:t>
            </w:r>
          </w:p>
        </w:tc>
        <w:tc>
          <w:tcPr>
            <w:tcW w:w="5305" w:type="dxa"/>
            <w:tcBorders>
              <w:top w:val="single" w:color="auto" w:sz="12" w:space="0"/>
              <w:left w:val="single" w:color="auto" w:sz="2" w:space="0"/>
              <w:bottom w:val="single" w:color="auto" w:sz="4" w:space="0"/>
              <w:right w:val="single" w:color="auto" w:sz="2" w:space="0"/>
            </w:tcBorders>
          </w:tcPr>
          <w:p>
            <w:pPr>
              <w:jc w:val="center"/>
              <w:rPr>
                <w:b/>
                <w:bCs/>
                <w:spacing w:val="-4"/>
                <w:sz w:val="24"/>
                <w:szCs w:val="24"/>
              </w:rPr>
            </w:pPr>
            <w:r>
              <w:rPr>
                <w:rFonts w:hint="eastAsia"/>
                <w:b/>
                <w:bCs/>
                <w:spacing w:val="-4"/>
                <w:sz w:val="24"/>
                <w:szCs w:val="24"/>
              </w:rPr>
              <w:t>环境影响报告表及审批文件中要求</w:t>
            </w:r>
          </w:p>
          <w:p>
            <w:pPr>
              <w:jc w:val="center"/>
              <w:rPr>
                <w:b/>
                <w:bCs/>
                <w:spacing w:val="-4"/>
                <w:sz w:val="24"/>
                <w:szCs w:val="24"/>
              </w:rPr>
            </w:pPr>
            <w:r>
              <w:rPr>
                <w:rFonts w:hint="eastAsia"/>
                <w:b/>
                <w:bCs/>
                <w:spacing w:val="-4"/>
                <w:sz w:val="24"/>
                <w:szCs w:val="24"/>
              </w:rPr>
              <w:t>的环境保护措施</w:t>
            </w:r>
          </w:p>
        </w:tc>
        <w:tc>
          <w:tcPr>
            <w:tcW w:w="2691" w:type="dxa"/>
            <w:tcBorders>
              <w:top w:val="single" w:color="auto" w:sz="12" w:space="0"/>
              <w:left w:val="single" w:color="auto" w:sz="2" w:space="0"/>
              <w:bottom w:val="single" w:color="auto" w:sz="4" w:space="0"/>
              <w:right w:val="single" w:color="auto" w:sz="12" w:space="0"/>
            </w:tcBorders>
          </w:tcPr>
          <w:p>
            <w:pPr>
              <w:jc w:val="center"/>
              <w:rPr>
                <w:b/>
                <w:bCs/>
                <w:spacing w:val="-4"/>
                <w:sz w:val="24"/>
                <w:szCs w:val="24"/>
              </w:rPr>
            </w:pPr>
            <w:r>
              <w:rPr>
                <w:rFonts w:hint="eastAsia"/>
                <w:b/>
                <w:bCs/>
                <w:spacing w:val="-4"/>
                <w:sz w:val="24"/>
                <w:szCs w:val="24"/>
              </w:rPr>
              <w:t>环境保护措施的落实情况，未采取措施的原因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10" w:hRule="atLeast"/>
          <w:jc w:val="center"/>
        </w:trPr>
        <w:tc>
          <w:tcPr>
            <w:tcW w:w="595" w:type="dxa"/>
            <w:tcBorders>
              <w:top w:val="single" w:color="auto" w:sz="4" w:space="0"/>
              <w:left w:val="single" w:color="auto" w:sz="12" w:space="0"/>
              <w:bottom w:val="single" w:color="auto" w:sz="4" w:space="0"/>
              <w:right w:val="single" w:color="auto" w:sz="4" w:space="0"/>
            </w:tcBorders>
            <w:vAlign w:val="center"/>
          </w:tcPr>
          <w:p>
            <w:pPr>
              <w:rPr>
                <w:b/>
                <w:bCs/>
                <w:spacing w:val="-4"/>
                <w:sz w:val="24"/>
                <w:szCs w:val="24"/>
              </w:rPr>
            </w:pPr>
            <w:r>
              <w:rPr>
                <w:rFonts w:hint="eastAsia"/>
                <w:b/>
                <w:bCs/>
                <w:spacing w:val="-4"/>
                <w:sz w:val="32"/>
                <w:szCs w:val="32"/>
              </w:rPr>
              <w:t>前期</w:t>
            </w:r>
          </w:p>
        </w:tc>
        <w:tc>
          <w:tcPr>
            <w:tcW w:w="81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b/>
                <w:bCs/>
                <w:spacing w:val="-4"/>
                <w:sz w:val="28"/>
                <w:szCs w:val="28"/>
              </w:rPr>
            </w:pPr>
            <w:r>
              <w:rPr>
                <w:rFonts w:hint="eastAsia"/>
                <w:b/>
                <w:bCs/>
                <w:spacing w:val="-4"/>
                <w:sz w:val="28"/>
                <w:szCs w:val="28"/>
              </w:rPr>
              <w:t>污染影响</w:t>
            </w:r>
          </w:p>
        </w:tc>
        <w:tc>
          <w:tcPr>
            <w:tcW w:w="5305" w:type="dxa"/>
            <w:tcBorders>
              <w:top w:val="single" w:color="auto" w:sz="4" w:space="0"/>
              <w:left w:val="single" w:color="auto" w:sz="4" w:space="0"/>
              <w:bottom w:val="single" w:color="auto" w:sz="4" w:space="0"/>
              <w:right w:val="single" w:color="auto" w:sz="4" w:space="0"/>
            </w:tcBorders>
            <w:vAlign w:val="center"/>
          </w:tcPr>
          <w:p>
            <w:r>
              <w:rPr>
                <w:rFonts w:hint="eastAsia"/>
              </w:rPr>
              <w:t>1、110kV</w:t>
            </w:r>
            <w:r>
              <w:t>配电装置采用GIS布置，可以大大减少占地，提高可靠性，并对工频电场、工频磁场有很好的屏蔽作用。</w:t>
            </w:r>
          </w:p>
          <w:p>
            <w:r>
              <w:rPr>
                <w:rFonts w:hint="eastAsia"/>
              </w:rPr>
              <w:t>2、</w:t>
            </w:r>
            <w:r>
              <w:t>站内平行跨导线的相序排列避免同相布置，减少同相母线交叉与相同转角布置，降低工频电场强度和工频磁感应强度</w:t>
            </w:r>
            <w:r>
              <w:rPr>
                <w:rFonts w:hint="eastAsia"/>
              </w:rPr>
              <w:t>。</w:t>
            </w:r>
          </w:p>
          <w:p>
            <w:r>
              <w:rPr>
                <w:rFonts w:hint="eastAsia"/>
              </w:rPr>
              <w:t>3、</w:t>
            </w:r>
            <w:r>
              <w:t>将变电站内电气设备接地。</w:t>
            </w:r>
          </w:p>
        </w:tc>
        <w:tc>
          <w:tcPr>
            <w:tcW w:w="2691" w:type="dxa"/>
            <w:tcBorders>
              <w:top w:val="single" w:color="auto" w:sz="4" w:space="0"/>
              <w:left w:val="single" w:color="auto" w:sz="4" w:space="0"/>
              <w:bottom w:val="single" w:color="auto" w:sz="4" w:space="0"/>
              <w:right w:val="single" w:color="auto" w:sz="12" w:space="0"/>
            </w:tcBorders>
            <w:vAlign w:val="center"/>
          </w:tcPr>
          <w:p>
            <w:pPr>
              <w:jc w:val="center"/>
            </w:pPr>
            <w:r>
              <w:rPr>
                <w:rFonts w:hint="eastAsia"/>
                <w:szCs w:val="21"/>
              </w:rPr>
              <w:t>1、变电站已按要求采用了</w:t>
            </w:r>
            <w:r>
              <w:rPr>
                <w:rFonts w:hint="eastAsia"/>
              </w:rPr>
              <w:t>GIS的布置方式。</w:t>
            </w:r>
          </w:p>
          <w:p>
            <w:pPr>
              <w:jc w:val="center"/>
            </w:pPr>
            <w:r>
              <w:rPr>
                <w:rFonts w:hint="eastAsia"/>
              </w:rPr>
              <w:t>2、站内各电气设备已接地，各设备运行情况良好。</w:t>
            </w:r>
          </w:p>
          <w:p>
            <w:r>
              <w:rPr>
                <w:rFonts w:hint="eastAsia"/>
              </w:rPr>
              <w:t>3、站内导线已按相序排列，已按环评要求实施。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66" w:hRule="atLeast"/>
          <w:jc w:val="center"/>
        </w:trPr>
        <w:tc>
          <w:tcPr>
            <w:tcW w:w="595" w:type="dxa"/>
            <w:vMerge w:val="restart"/>
            <w:tcBorders>
              <w:top w:val="single" w:color="auto" w:sz="4" w:space="0"/>
              <w:left w:val="single" w:color="auto" w:sz="12" w:space="0"/>
              <w:bottom w:val="single" w:color="auto" w:sz="4" w:space="0"/>
              <w:right w:val="single" w:color="auto" w:sz="4" w:space="0"/>
            </w:tcBorders>
            <w:vAlign w:val="center"/>
          </w:tcPr>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r>
              <w:rPr>
                <w:rFonts w:hint="eastAsia"/>
                <w:b/>
                <w:bCs/>
                <w:spacing w:val="-4"/>
                <w:sz w:val="32"/>
                <w:szCs w:val="32"/>
              </w:rPr>
              <w:t>施工</w:t>
            </w:r>
          </w:p>
          <w:p>
            <w:pPr>
              <w:jc w:val="center"/>
              <w:rPr>
                <w:b/>
                <w:bCs/>
                <w:spacing w:val="-4"/>
                <w:sz w:val="32"/>
                <w:szCs w:val="32"/>
              </w:rPr>
            </w:pPr>
            <w:r>
              <w:rPr>
                <w:rFonts w:hint="eastAsia"/>
                <w:b/>
                <w:bCs/>
                <w:spacing w:val="-4"/>
                <w:sz w:val="32"/>
                <w:szCs w:val="32"/>
              </w:rPr>
              <w:t>期</w:t>
            </w:r>
          </w:p>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r>
              <w:rPr>
                <w:rFonts w:hint="eastAsia"/>
                <w:b/>
                <w:bCs/>
                <w:spacing w:val="-4"/>
                <w:sz w:val="32"/>
                <w:szCs w:val="32"/>
              </w:rPr>
              <w:t>施工</w:t>
            </w:r>
          </w:p>
          <w:p>
            <w:pPr>
              <w:rPr>
                <w:b/>
                <w:bCs/>
                <w:spacing w:val="-4"/>
                <w:sz w:val="24"/>
                <w:szCs w:val="24"/>
              </w:rPr>
            </w:pPr>
            <w:r>
              <w:rPr>
                <w:rFonts w:hint="eastAsia"/>
                <w:b/>
                <w:bCs/>
                <w:spacing w:val="-4"/>
                <w:sz w:val="32"/>
                <w:szCs w:val="32"/>
              </w:rPr>
              <w:t>期</w:t>
            </w:r>
          </w:p>
        </w:tc>
        <w:tc>
          <w:tcPr>
            <w:tcW w:w="81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b/>
                <w:bCs/>
                <w:spacing w:val="-4"/>
                <w:sz w:val="28"/>
                <w:szCs w:val="28"/>
              </w:rPr>
            </w:pPr>
            <w:r>
              <w:rPr>
                <w:rFonts w:hint="eastAsia"/>
                <w:b/>
                <w:bCs/>
                <w:spacing w:val="-4"/>
                <w:sz w:val="28"/>
                <w:szCs w:val="28"/>
              </w:rPr>
              <w:t>生态</w:t>
            </w:r>
          </w:p>
          <w:p>
            <w:pPr>
              <w:spacing w:line="0" w:lineRule="atLeast"/>
              <w:jc w:val="center"/>
              <w:rPr>
                <w:b/>
                <w:bCs/>
                <w:spacing w:val="-4"/>
                <w:sz w:val="28"/>
                <w:szCs w:val="28"/>
              </w:rPr>
            </w:pPr>
            <w:r>
              <w:rPr>
                <w:rFonts w:hint="eastAsia"/>
                <w:b/>
                <w:bCs/>
                <w:spacing w:val="-4"/>
                <w:sz w:val="28"/>
                <w:szCs w:val="28"/>
              </w:rPr>
              <w:t>影响</w:t>
            </w:r>
          </w:p>
        </w:tc>
        <w:tc>
          <w:tcPr>
            <w:tcW w:w="5305" w:type="dxa"/>
            <w:tcBorders>
              <w:top w:val="single" w:color="auto" w:sz="4" w:space="0"/>
              <w:left w:val="single" w:color="auto" w:sz="4" w:space="0"/>
              <w:bottom w:val="single" w:color="auto" w:sz="4" w:space="0"/>
              <w:right w:val="single" w:color="auto" w:sz="4" w:space="0"/>
            </w:tcBorders>
            <w:vAlign w:val="center"/>
          </w:tcPr>
          <w:p>
            <w:r>
              <w:rPr>
                <w:rFonts w:hint="eastAsia"/>
                <w:bCs/>
              </w:rPr>
              <w:t>龙安35kV变电站灾后恢复重建改造工程在原有35kV龙安变电站原址上进行，土建施工较少，施工期临时用地占用附近荒草地。</w:t>
            </w:r>
          </w:p>
        </w:tc>
        <w:tc>
          <w:tcPr>
            <w:tcW w:w="2691" w:type="dxa"/>
            <w:tcBorders>
              <w:top w:val="single" w:color="auto" w:sz="4" w:space="0"/>
              <w:left w:val="single" w:color="auto" w:sz="4" w:space="0"/>
              <w:bottom w:val="single" w:color="auto" w:sz="4" w:space="0"/>
              <w:right w:val="single" w:color="auto" w:sz="12" w:space="0"/>
            </w:tcBorders>
            <w:vAlign w:val="center"/>
          </w:tcPr>
          <w:p>
            <w:pPr>
              <w:jc w:val="center"/>
              <w:rPr>
                <w:b/>
                <w:bCs/>
                <w:spacing w:val="-4"/>
                <w:sz w:val="24"/>
                <w:szCs w:val="24"/>
              </w:rPr>
            </w:pPr>
            <w:r>
              <w:rPr>
                <w:rFonts w:hint="eastAsia"/>
                <w:szCs w:val="21"/>
              </w:rPr>
              <w:t>项目现已完成施工，根据现场踏勘，</w:t>
            </w:r>
            <w:r>
              <w:rPr>
                <w:rFonts w:hint="eastAsia"/>
                <w:bCs/>
                <w:szCs w:val="24"/>
              </w:rPr>
              <w:t>项目实施对周围生态环境影响已消除。</w:t>
            </w:r>
            <w:r>
              <w:rPr>
                <w:rFonts w:hint="eastAsia"/>
                <w:szCs w:val="21"/>
              </w:rPr>
              <w:t>现场无遗留施工期污染。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93" w:hRule="atLeast"/>
          <w:jc w:val="center"/>
        </w:trPr>
        <w:tc>
          <w:tcPr>
            <w:tcW w:w="595" w:type="dxa"/>
            <w:vMerge w:val="continue"/>
            <w:tcBorders>
              <w:top w:val="single" w:color="auto" w:sz="4" w:space="0"/>
              <w:left w:val="single" w:color="auto" w:sz="12" w:space="0"/>
              <w:bottom w:val="single" w:color="auto" w:sz="4" w:space="0"/>
              <w:right w:val="single" w:color="auto" w:sz="4" w:space="0"/>
            </w:tcBorders>
          </w:tcPr>
          <w:p>
            <w:pPr>
              <w:rPr>
                <w:b/>
                <w:bCs/>
                <w:spacing w:val="-4"/>
                <w:sz w:val="24"/>
                <w:szCs w:val="24"/>
              </w:rPr>
            </w:pPr>
          </w:p>
        </w:tc>
        <w:tc>
          <w:tcPr>
            <w:tcW w:w="811" w:type="dxa"/>
            <w:vMerge w:val="restart"/>
            <w:tcBorders>
              <w:top w:val="single" w:color="auto" w:sz="4" w:space="0"/>
              <w:left w:val="single" w:color="auto" w:sz="4" w:space="0"/>
              <w:bottom w:val="single" w:color="auto" w:sz="4" w:space="0"/>
              <w:right w:val="single" w:color="auto" w:sz="4" w:space="0"/>
            </w:tcBorders>
            <w:vAlign w:val="center"/>
          </w:tcPr>
          <w:p>
            <w:pPr>
              <w:spacing w:line="0" w:lineRule="atLeast"/>
              <w:jc w:val="center"/>
              <w:rPr>
                <w:b/>
                <w:bCs/>
                <w:spacing w:val="-4"/>
                <w:sz w:val="28"/>
                <w:szCs w:val="28"/>
              </w:rPr>
            </w:pPr>
            <w:r>
              <w:rPr>
                <w:rFonts w:hint="eastAsia"/>
                <w:b/>
                <w:bCs/>
                <w:spacing w:val="-4"/>
                <w:sz w:val="28"/>
                <w:szCs w:val="28"/>
              </w:rPr>
              <w:t>污染</w:t>
            </w:r>
          </w:p>
          <w:p>
            <w:pPr>
              <w:spacing w:line="0" w:lineRule="atLeast"/>
              <w:jc w:val="center"/>
              <w:rPr>
                <w:b/>
                <w:bCs/>
                <w:spacing w:val="-4"/>
                <w:sz w:val="28"/>
                <w:szCs w:val="28"/>
              </w:rPr>
            </w:pPr>
            <w:r>
              <w:rPr>
                <w:rFonts w:hint="eastAsia"/>
                <w:b/>
                <w:bCs/>
                <w:spacing w:val="-4"/>
                <w:sz w:val="28"/>
                <w:szCs w:val="28"/>
              </w:rPr>
              <w:t>影响</w:t>
            </w:r>
          </w:p>
        </w:tc>
        <w:tc>
          <w:tcPr>
            <w:tcW w:w="5305" w:type="dxa"/>
            <w:tcBorders>
              <w:top w:val="single" w:color="auto" w:sz="4" w:space="0"/>
              <w:left w:val="single" w:color="auto" w:sz="4" w:space="0"/>
              <w:bottom w:val="single" w:color="auto" w:sz="12" w:space="0"/>
              <w:right w:val="single" w:color="auto" w:sz="4" w:space="0"/>
            </w:tcBorders>
            <w:vAlign w:val="center"/>
          </w:tcPr>
          <w:p>
            <w:pPr>
              <w:rPr>
                <w:rFonts w:hAnsi="宋体"/>
                <w:b/>
                <w:szCs w:val="21"/>
              </w:rPr>
            </w:pPr>
            <w:r>
              <w:rPr>
                <w:rFonts w:hint="eastAsia" w:hAnsi="宋体"/>
                <w:b/>
                <w:szCs w:val="21"/>
              </w:rPr>
              <w:t>1、大气污染物</w:t>
            </w:r>
          </w:p>
          <w:p>
            <w:pPr>
              <w:ind w:firstLine="420" w:firstLineChars="200"/>
              <w:rPr>
                <w:rFonts w:ascii="宋体" w:hAnsi="宋体" w:cs="宋体"/>
                <w:szCs w:val="21"/>
              </w:rPr>
            </w:pPr>
            <w:r>
              <w:rPr>
                <w:rFonts w:hint="eastAsia" w:ascii="宋体" w:hAnsi="宋体" w:cs="宋体"/>
                <w:bCs/>
                <w:szCs w:val="21"/>
              </w:rPr>
              <w:t>制定施工方案，</w:t>
            </w:r>
            <w:r>
              <w:rPr>
                <w:rFonts w:ascii="宋体" w:hAnsi="宋体" w:cs="宋体"/>
                <w:szCs w:val="21"/>
              </w:rPr>
              <w:t>施工现场地面和路面定期洒水，在大风和干燥天气条件下适当增加洒水次数。</w:t>
            </w:r>
          </w:p>
          <w:p>
            <w:pPr>
              <w:rPr>
                <w:szCs w:val="21"/>
              </w:rPr>
            </w:pPr>
            <w:r>
              <w:rPr>
                <w:rFonts w:hint="eastAsia" w:hAnsi="宋体"/>
                <w:b/>
                <w:szCs w:val="21"/>
              </w:rPr>
              <w:t>2、生活污水</w:t>
            </w:r>
            <w:r>
              <w:rPr>
                <w:rFonts w:hAnsi="宋体"/>
                <w:b/>
                <w:szCs w:val="21"/>
              </w:rPr>
              <w:t>产生及处置情况</w:t>
            </w:r>
          </w:p>
          <w:p>
            <w:pPr>
              <w:rPr>
                <w:rFonts w:ascii="宋体" w:hAnsi="宋体" w:cs="宋体"/>
                <w:szCs w:val="21"/>
              </w:rPr>
            </w:pPr>
            <w:r>
              <w:rPr>
                <w:rFonts w:hint="eastAsia" w:ascii="宋体" w:hAnsi="宋体" w:cs="宋体"/>
                <w:szCs w:val="21"/>
              </w:rPr>
              <w:t>（1）、施工期生活污水利用附近厕所收集；</w:t>
            </w:r>
          </w:p>
          <w:p>
            <w:pPr>
              <w:rPr>
                <w:rFonts w:ascii="宋体" w:hAnsi="宋体" w:cs="宋体"/>
                <w:szCs w:val="21"/>
              </w:rPr>
            </w:pPr>
            <w:r>
              <w:rPr>
                <w:rFonts w:hint="eastAsia" w:ascii="宋体" w:hAnsi="宋体" w:cs="宋体"/>
                <w:szCs w:val="21"/>
              </w:rPr>
              <w:t>（2）、施工废水统一收集，经沉淀后二次利用。</w:t>
            </w:r>
          </w:p>
          <w:p>
            <w:pPr>
              <w:rPr>
                <w:rFonts w:hAnsi="宋体"/>
                <w:b/>
                <w:szCs w:val="21"/>
              </w:rPr>
            </w:pPr>
            <w:r>
              <w:rPr>
                <w:rFonts w:hint="eastAsia" w:hAnsi="宋体"/>
                <w:b/>
                <w:szCs w:val="21"/>
              </w:rPr>
              <w:t>3、</w:t>
            </w:r>
            <w:r>
              <w:rPr>
                <w:rFonts w:hAnsi="宋体"/>
                <w:b/>
                <w:szCs w:val="21"/>
              </w:rPr>
              <w:t>固体废物</w:t>
            </w:r>
          </w:p>
          <w:p>
            <w:pPr>
              <w:rPr>
                <w:rFonts w:ascii="宋体" w:hAnsi="宋体" w:cs="宋体"/>
                <w:szCs w:val="21"/>
              </w:rPr>
            </w:pPr>
            <w:r>
              <w:rPr>
                <w:rFonts w:hint="eastAsia" w:ascii="宋体" w:hAnsi="宋体" w:cs="宋体"/>
                <w:szCs w:val="21"/>
              </w:rPr>
              <w:t>（1）、生活垃圾利用现场垃圾收集装置收集后，</w:t>
            </w:r>
            <w:r>
              <w:rPr>
                <w:rFonts w:hint="eastAsia" w:ascii="宋体" w:hAnsi="宋体" w:cs="宋体"/>
                <w:bCs/>
                <w:szCs w:val="21"/>
              </w:rPr>
              <w:t>由</w:t>
            </w:r>
            <w:r>
              <w:rPr>
                <w:rFonts w:hint="eastAsia" w:ascii="宋体" w:hAnsi="宋体" w:cs="宋体"/>
                <w:szCs w:val="21"/>
              </w:rPr>
              <w:t>施工</w:t>
            </w:r>
            <w:r>
              <w:rPr>
                <w:rFonts w:ascii="宋体" w:hAnsi="宋体" w:cs="宋体"/>
                <w:szCs w:val="21"/>
              </w:rPr>
              <w:t>人员不定期带到平武县城垃圾收集</w:t>
            </w:r>
            <w:r>
              <w:rPr>
                <w:rFonts w:hint="eastAsia" w:ascii="宋体" w:hAnsi="宋体" w:cs="宋体"/>
                <w:szCs w:val="21"/>
              </w:rPr>
              <w:t>点；</w:t>
            </w:r>
          </w:p>
          <w:p>
            <w:pPr>
              <w:rPr>
                <w:szCs w:val="21"/>
              </w:rPr>
            </w:pPr>
            <w:r>
              <w:rPr>
                <w:rFonts w:hint="eastAsia" w:ascii="宋体" w:hAnsi="宋体" w:cs="宋体"/>
                <w:szCs w:val="21"/>
              </w:rPr>
              <w:t>（2）、原有35kV龙安变电站拆除的设备、固废由建设单位回收利用。</w:t>
            </w:r>
          </w:p>
        </w:tc>
        <w:tc>
          <w:tcPr>
            <w:tcW w:w="2691" w:type="dxa"/>
            <w:tcBorders>
              <w:top w:val="single" w:color="auto" w:sz="4" w:space="0"/>
              <w:left w:val="single" w:color="auto" w:sz="4" w:space="0"/>
              <w:bottom w:val="single" w:color="auto" w:sz="12" w:space="0"/>
              <w:right w:val="single" w:color="auto" w:sz="12" w:space="0"/>
            </w:tcBorders>
            <w:vAlign w:val="center"/>
          </w:tcPr>
          <w:p>
            <w:pPr>
              <w:rPr>
                <w:szCs w:val="21"/>
              </w:rPr>
            </w:pPr>
            <w:r>
              <w:rPr>
                <w:rFonts w:hint="eastAsia"/>
                <w:szCs w:val="21"/>
              </w:rPr>
              <w:t>项目现已完成施工，根据现场踏勘：</w:t>
            </w:r>
          </w:p>
          <w:p>
            <w:pPr>
              <w:rPr>
                <w:szCs w:val="21"/>
              </w:rPr>
            </w:pPr>
            <w:r>
              <w:rPr>
                <w:rFonts w:hint="eastAsia"/>
                <w:szCs w:val="21"/>
              </w:rPr>
              <w:t>1、施工期项目环保措施完善。</w:t>
            </w:r>
          </w:p>
          <w:p>
            <w:pPr>
              <w:rPr>
                <w:szCs w:val="21"/>
              </w:rPr>
            </w:pPr>
            <w:r>
              <w:rPr>
                <w:rFonts w:hint="eastAsia"/>
                <w:szCs w:val="21"/>
              </w:rPr>
              <w:t>2、现场未发现建渣、焚烧废弃物等污染物，未发现乱排乱放现场。</w:t>
            </w:r>
          </w:p>
          <w:p>
            <w:pPr>
              <w:rPr>
                <w:szCs w:val="21"/>
              </w:rPr>
            </w:pPr>
            <w:r>
              <w:rPr>
                <w:rFonts w:hint="eastAsia"/>
                <w:szCs w:val="21"/>
              </w:rPr>
              <w:t>3、对周边环境居民造成影响较小，施工期污染已消除。</w:t>
            </w:r>
          </w:p>
          <w:p>
            <w:pPr>
              <w:rPr>
                <w:szCs w:val="21"/>
              </w:rPr>
            </w:pPr>
            <w:r>
              <w:rPr>
                <w:rFonts w:hint="eastAsia"/>
                <w:szCs w:val="21"/>
              </w:rPr>
              <w:t>4、现场无遗留施工期污染。</w:t>
            </w:r>
          </w:p>
          <w:p>
            <w:pPr>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43" w:hRule="atLeast"/>
          <w:jc w:val="center"/>
        </w:trPr>
        <w:tc>
          <w:tcPr>
            <w:tcW w:w="595" w:type="dxa"/>
            <w:vMerge w:val="continue"/>
            <w:tcBorders>
              <w:top w:val="single" w:color="auto" w:sz="4" w:space="0"/>
              <w:left w:val="single" w:color="auto" w:sz="12" w:space="0"/>
              <w:bottom w:val="single" w:color="auto" w:sz="12" w:space="0"/>
              <w:right w:val="single" w:color="auto" w:sz="4" w:space="0"/>
            </w:tcBorders>
          </w:tcPr>
          <w:p>
            <w:pPr>
              <w:rPr>
                <w:b/>
                <w:bCs/>
                <w:spacing w:val="-4"/>
                <w:sz w:val="24"/>
                <w:szCs w:val="24"/>
              </w:rPr>
            </w:pPr>
          </w:p>
        </w:tc>
        <w:tc>
          <w:tcPr>
            <w:tcW w:w="811" w:type="dxa"/>
            <w:vMerge w:val="continue"/>
            <w:tcBorders>
              <w:top w:val="single" w:color="auto" w:sz="4" w:space="0"/>
              <w:left w:val="single" w:color="auto" w:sz="4" w:space="0"/>
              <w:bottom w:val="single" w:color="auto" w:sz="12" w:space="0"/>
              <w:right w:val="single" w:color="auto" w:sz="4" w:space="0"/>
            </w:tcBorders>
          </w:tcPr>
          <w:p>
            <w:pPr>
              <w:rPr>
                <w:b/>
                <w:bCs/>
                <w:spacing w:val="-4"/>
                <w:sz w:val="28"/>
                <w:szCs w:val="28"/>
              </w:rPr>
            </w:pPr>
          </w:p>
        </w:tc>
        <w:tc>
          <w:tcPr>
            <w:tcW w:w="5305" w:type="dxa"/>
            <w:tcBorders>
              <w:top w:val="single" w:color="auto" w:sz="12" w:space="0"/>
              <w:left w:val="single" w:color="auto" w:sz="4" w:space="0"/>
              <w:bottom w:val="single" w:color="auto" w:sz="12" w:space="0"/>
              <w:right w:val="single" w:color="auto" w:sz="4" w:space="0"/>
            </w:tcBorders>
            <w:vAlign w:val="center"/>
          </w:tcPr>
          <w:p>
            <w:pPr>
              <w:spacing w:line="340" w:lineRule="exact"/>
              <w:rPr>
                <w:b/>
                <w:bCs/>
                <w:szCs w:val="21"/>
              </w:rPr>
            </w:pPr>
            <w:r>
              <w:rPr>
                <w:rFonts w:hint="eastAsia"/>
                <w:b/>
                <w:bCs/>
                <w:szCs w:val="21"/>
              </w:rPr>
              <w:t>4、噪声</w:t>
            </w:r>
          </w:p>
          <w:p>
            <w:pPr>
              <w:spacing w:line="360" w:lineRule="auto"/>
              <w:rPr>
                <w:bCs/>
                <w:szCs w:val="24"/>
              </w:rPr>
            </w:pPr>
            <w:r>
              <w:rPr>
                <w:rFonts w:hint="eastAsia"/>
                <w:bCs/>
                <w:szCs w:val="24"/>
              </w:rPr>
              <w:t>（1）、</w:t>
            </w:r>
            <w:r>
              <w:rPr>
                <w:rFonts w:hint="eastAsia"/>
                <w:szCs w:val="24"/>
              </w:rPr>
              <w:t>工程绝大部分在昼</w:t>
            </w:r>
            <w:r>
              <w:rPr>
                <w:szCs w:val="24"/>
              </w:rPr>
              <w:t>间</w:t>
            </w:r>
            <w:r>
              <w:rPr>
                <w:rFonts w:hint="eastAsia"/>
                <w:szCs w:val="24"/>
              </w:rPr>
              <w:t>进行</w:t>
            </w:r>
            <w:r>
              <w:rPr>
                <w:szCs w:val="24"/>
              </w:rPr>
              <w:t>，</w:t>
            </w:r>
            <w:r>
              <w:rPr>
                <w:rFonts w:hint="eastAsia"/>
                <w:szCs w:val="24"/>
              </w:rPr>
              <w:t>同时使用的噪声设备较少</w:t>
            </w:r>
            <w:r>
              <w:rPr>
                <w:bCs/>
                <w:szCs w:val="24"/>
              </w:rPr>
              <w:t>。</w:t>
            </w:r>
          </w:p>
          <w:p>
            <w:pPr>
              <w:spacing w:line="360" w:lineRule="auto"/>
              <w:rPr>
                <w:bCs/>
                <w:szCs w:val="24"/>
              </w:rPr>
            </w:pPr>
            <w:r>
              <w:rPr>
                <w:rFonts w:hint="eastAsia"/>
                <w:bCs/>
                <w:szCs w:val="24"/>
              </w:rPr>
              <w:t>（2）、</w:t>
            </w:r>
            <w:r>
              <w:rPr>
                <w:szCs w:val="24"/>
              </w:rPr>
              <w:t>采用外加工材料。</w:t>
            </w:r>
          </w:p>
          <w:p>
            <w:pPr>
              <w:rPr>
                <w:bCs/>
              </w:rPr>
            </w:pPr>
            <w:r>
              <w:rPr>
                <w:rFonts w:hint="eastAsia"/>
                <w:szCs w:val="24"/>
              </w:rPr>
              <w:t>（3）、</w:t>
            </w:r>
            <w:r>
              <w:rPr>
                <w:szCs w:val="24"/>
              </w:rPr>
              <w:t>按操作规范操作机械设备，减少</w:t>
            </w:r>
            <w:r>
              <w:rPr>
                <w:rFonts w:hint="eastAsia"/>
                <w:szCs w:val="24"/>
              </w:rPr>
              <w:t>了</w:t>
            </w:r>
            <w:r>
              <w:rPr>
                <w:szCs w:val="24"/>
              </w:rPr>
              <w:t>碰撞噪声。</w:t>
            </w:r>
          </w:p>
        </w:tc>
        <w:tc>
          <w:tcPr>
            <w:tcW w:w="2691" w:type="dxa"/>
            <w:tcBorders>
              <w:top w:val="single" w:color="auto" w:sz="12" w:space="0"/>
              <w:left w:val="single" w:color="auto" w:sz="4" w:space="0"/>
              <w:bottom w:val="single" w:color="auto" w:sz="12" w:space="0"/>
              <w:right w:val="single" w:color="auto" w:sz="12" w:space="0"/>
            </w:tcBorders>
            <w:vAlign w:val="center"/>
          </w:tcPr>
          <w:p>
            <w:pPr>
              <w:jc w:val="center"/>
              <w:rPr>
                <w:szCs w:val="21"/>
              </w:rPr>
            </w:pPr>
            <w:r>
              <w:rPr>
                <w:rFonts w:hint="eastAsia"/>
                <w:szCs w:val="21"/>
              </w:rPr>
              <w:t>项目现已完成施工，根据现场踏勘及走访调查周边居民，施工期项目环保措施完善，未收到任何施工噪声群众投诉情况，且施工期间对周边环境居民造成影响较小，随着施工结束，施工期污染已消除。</w:t>
            </w:r>
          </w:p>
          <w:p>
            <w:pPr>
              <w:jc w:val="center"/>
              <w:rPr>
                <w:color w:val="9BBB59"/>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83" w:hRule="atLeast"/>
          <w:jc w:val="center"/>
        </w:trPr>
        <w:tc>
          <w:tcPr>
            <w:tcW w:w="595" w:type="dxa"/>
            <w:vMerge w:val="continue"/>
            <w:tcBorders>
              <w:top w:val="single" w:color="auto" w:sz="12" w:space="0"/>
              <w:left w:val="single" w:color="auto" w:sz="12" w:space="0"/>
              <w:bottom w:val="single" w:color="auto" w:sz="12" w:space="0"/>
              <w:right w:val="single" w:color="auto" w:sz="4" w:space="0"/>
            </w:tcBorders>
          </w:tcPr>
          <w:p>
            <w:pPr>
              <w:rPr>
                <w:b/>
                <w:bCs/>
                <w:spacing w:val="-4"/>
                <w:sz w:val="24"/>
                <w:szCs w:val="24"/>
              </w:rPr>
            </w:pPr>
          </w:p>
        </w:tc>
        <w:tc>
          <w:tcPr>
            <w:tcW w:w="811" w:type="dxa"/>
            <w:tcBorders>
              <w:top w:val="single" w:color="auto" w:sz="12" w:space="0"/>
              <w:left w:val="single" w:color="auto" w:sz="4" w:space="0"/>
              <w:bottom w:val="single" w:color="auto" w:sz="12" w:space="0"/>
              <w:right w:val="single" w:color="auto" w:sz="4" w:space="0"/>
            </w:tcBorders>
            <w:vAlign w:val="center"/>
          </w:tcPr>
          <w:p>
            <w:pPr>
              <w:spacing w:line="0" w:lineRule="atLeast"/>
              <w:jc w:val="center"/>
              <w:rPr>
                <w:b/>
                <w:bCs/>
                <w:spacing w:val="-4"/>
                <w:sz w:val="28"/>
                <w:szCs w:val="28"/>
              </w:rPr>
            </w:pPr>
            <w:r>
              <w:rPr>
                <w:rFonts w:hint="eastAsia"/>
                <w:b/>
                <w:bCs/>
                <w:spacing w:val="-4"/>
                <w:sz w:val="28"/>
                <w:szCs w:val="28"/>
              </w:rPr>
              <w:t>社会</w:t>
            </w:r>
          </w:p>
          <w:p>
            <w:pPr>
              <w:spacing w:line="0" w:lineRule="atLeast"/>
              <w:jc w:val="center"/>
              <w:rPr>
                <w:b/>
                <w:bCs/>
                <w:spacing w:val="-4"/>
                <w:sz w:val="28"/>
                <w:szCs w:val="28"/>
              </w:rPr>
            </w:pPr>
            <w:r>
              <w:rPr>
                <w:rFonts w:hint="eastAsia"/>
                <w:b/>
                <w:bCs/>
                <w:spacing w:val="-4"/>
                <w:sz w:val="28"/>
                <w:szCs w:val="28"/>
              </w:rPr>
              <w:t>影响</w:t>
            </w:r>
          </w:p>
        </w:tc>
        <w:tc>
          <w:tcPr>
            <w:tcW w:w="5305" w:type="dxa"/>
            <w:tcBorders>
              <w:top w:val="single" w:color="auto" w:sz="12" w:space="0"/>
              <w:left w:val="single" w:color="auto" w:sz="4" w:space="0"/>
              <w:bottom w:val="single" w:color="auto" w:sz="12" w:space="0"/>
              <w:right w:val="single" w:color="auto" w:sz="4" w:space="0"/>
            </w:tcBorders>
            <w:vAlign w:val="center"/>
          </w:tcPr>
          <w:p>
            <w:pPr>
              <w:rPr>
                <w:rFonts w:ascii="宋体" w:hAnsi="宋体" w:cs="宋体"/>
                <w:b/>
                <w:bCs/>
                <w:spacing w:val="-4"/>
                <w:sz w:val="24"/>
                <w:szCs w:val="21"/>
              </w:rPr>
            </w:pPr>
            <w:r>
              <w:rPr>
                <w:rFonts w:hint="eastAsia" w:ascii="宋体" w:hAnsi="宋体" w:cs="宋体"/>
                <w:szCs w:val="21"/>
              </w:rPr>
              <w:t>在施工期间，做好与工程相关的环保知识的宣传、解释工作，消除公众的疑虑和担心。</w:t>
            </w:r>
          </w:p>
        </w:tc>
        <w:tc>
          <w:tcPr>
            <w:tcW w:w="2691" w:type="dxa"/>
            <w:tcBorders>
              <w:top w:val="single" w:color="auto" w:sz="12" w:space="0"/>
              <w:left w:val="single" w:color="auto" w:sz="4" w:space="0"/>
              <w:bottom w:val="single" w:color="auto" w:sz="12" w:space="0"/>
              <w:right w:val="single" w:color="auto" w:sz="12" w:space="0"/>
            </w:tcBorders>
            <w:vAlign w:val="center"/>
          </w:tcPr>
          <w:p>
            <w:pPr>
              <w:jc w:val="center"/>
              <w:rPr>
                <w:b/>
                <w:bCs/>
                <w:spacing w:val="-4"/>
                <w:szCs w:val="21"/>
              </w:rPr>
            </w:pPr>
            <w:r>
              <w:rPr>
                <w:rFonts w:hint="eastAsia"/>
                <w:szCs w:val="21"/>
              </w:rPr>
              <w:t>本项目在施工过程中已做好</w:t>
            </w:r>
            <w:r>
              <w:rPr>
                <w:rFonts w:hint="eastAsia" w:ascii="宋体" w:hAnsi="宋体" w:cs="宋体"/>
                <w:color w:val="000000"/>
                <w:szCs w:val="21"/>
              </w:rPr>
              <w:t>工程相关的环保知识的宣传、解释工作。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21" w:hRule="atLeast"/>
          <w:jc w:val="center"/>
        </w:trPr>
        <w:tc>
          <w:tcPr>
            <w:tcW w:w="595" w:type="dxa"/>
            <w:vMerge w:val="restart"/>
            <w:tcBorders>
              <w:top w:val="single" w:color="auto" w:sz="12" w:space="0"/>
              <w:left w:val="single" w:color="auto" w:sz="12" w:space="0"/>
              <w:right w:val="single" w:color="auto" w:sz="4" w:space="0"/>
            </w:tcBorders>
            <w:vAlign w:val="center"/>
          </w:tcPr>
          <w:p>
            <w:pPr>
              <w:jc w:val="center"/>
              <w:rPr>
                <w:b/>
                <w:bCs/>
                <w:spacing w:val="-4"/>
                <w:sz w:val="32"/>
                <w:szCs w:val="32"/>
              </w:rPr>
            </w:pPr>
          </w:p>
          <w:p>
            <w:pPr>
              <w:jc w:val="center"/>
              <w:rPr>
                <w:b/>
                <w:bCs/>
                <w:spacing w:val="-4"/>
                <w:sz w:val="32"/>
                <w:szCs w:val="32"/>
              </w:rPr>
            </w:pPr>
          </w:p>
          <w:p>
            <w:pPr>
              <w:jc w:val="center"/>
              <w:rPr>
                <w:b/>
                <w:bCs/>
                <w:spacing w:val="-4"/>
                <w:sz w:val="32"/>
                <w:szCs w:val="32"/>
              </w:rPr>
            </w:pPr>
          </w:p>
          <w:p>
            <w:pPr>
              <w:rPr>
                <w:b/>
                <w:bCs/>
                <w:spacing w:val="-4"/>
                <w:sz w:val="32"/>
                <w:szCs w:val="32"/>
              </w:rPr>
            </w:pPr>
            <w:r>
              <w:rPr>
                <w:rFonts w:hint="eastAsia"/>
                <w:b/>
                <w:bCs/>
                <w:spacing w:val="-4"/>
                <w:sz w:val="32"/>
                <w:szCs w:val="32"/>
              </w:rPr>
              <w:t>运行期</w:t>
            </w:r>
          </w:p>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r>
              <w:rPr>
                <w:rFonts w:hint="eastAsia"/>
                <w:b/>
                <w:bCs/>
                <w:spacing w:val="-4"/>
                <w:sz w:val="32"/>
                <w:szCs w:val="32"/>
              </w:rPr>
              <w:t>运行期</w:t>
            </w:r>
          </w:p>
        </w:tc>
        <w:tc>
          <w:tcPr>
            <w:tcW w:w="811" w:type="dxa"/>
            <w:tcBorders>
              <w:top w:val="single" w:color="auto" w:sz="12" w:space="0"/>
              <w:left w:val="single" w:color="auto" w:sz="4" w:space="0"/>
              <w:bottom w:val="single" w:color="auto" w:sz="12" w:space="0"/>
              <w:right w:val="single" w:color="auto" w:sz="4" w:space="0"/>
            </w:tcBorders>
            <w:vAlign w:val="center"/>
          </w:tcPr>
          <w:p>
            <w:pPr>
              <w:spacing w:line="0" w:lineRule="atLeast"/>
              <w:jc w:val="center"/>
              <w:rPr>
                <w:b/>
                <w:bCs/>
                <w:spacing w:val="-4"/>
                <w:sz w:val="30"/>
                <w:szCs w:val="30"/>
              </w:rPr>
            </w:pPr>
            <w:r>
              <w:rPr>
                <w:rFonts w:hint="eastAsia"/>
                <w:b/>
                <w:bCs/>
                <w:spacing w:val="-4"/>
                <w:sz w:val="30"/>
                <w:szCs w:val="30"/>
              </w:rPr>
              <w:t>生态影响</w:t>
            </w:r>
          </w:p>
        </w:tc>
        <w:tc>
          <w:tcPr>
            <w:tcW w:w="5305" w:type="dxa"/>
            <w:tcBorders>
              <w:top w:val="single" w:color="auto" w:sz="12" w:space="0"/>
              <w:left w:val="single" w:color="auto" w:sz="4" w:space="0"/>
              <w:bottom w:val="single" w:color="auto" w:sz="12" w:space="0"/>
              <w:right w:val="single" w:color="auto" w:sz="4" w:space="0"/>
            </w:tcBorders>
            <w:vAlign w:val="center"/>
          </w:tcPr>
          <w:p>
            <w:pPr>
              <w:rPr>
                <w:rFonts w:ascii="宋体" w:hAnsi="宋体" w:cs="宋体"/>
                <w:szCs w:val="21"/>
              </w:rPr>
            </w:pPr>
            <w:r>
              <w:rPr>
                <w:szCs w:val="21"/>
              </w:rPr>
              <w:t>变电站</w:t>
            </w:r>
            <w:r>
              <w:rPr>
                <w:rFonts w:hint="eastAsia"/>
                <w:szCs w:val="21"/>
              </w:rPr>
              <w:t>运行后不涉及土建施工，不会对植被生态造成影响。</w:t>
            </w:r>
          </w:p>
        </w:tc>
        <w:tc>
          <w:tcPr>
            <w:tcW w:w="2691" w:type="dxa"/>
            <w:tcBorders>
              <w:top w:val="single" w:color="auto" w:sz="12" w:space="0"/>
              <w:left w:val="single" w:color="auto" w:sz="4" w:space="0"/>
              <w:bottom w:val="single" w:color="auto" w:sz="12" w:space="0"/>
              <w:right w:val="single" w:color="auto" w:sz="12" w:space="0"/>
            </w:tcBorders>
            <w:vAlign w:val="center"/>
          </w:tcPr>
          <w:p>
            <w:pPr>
              <w:jc w:val="left"/>
            </w:pPr>
            <w:r>
              <w:rPr>
                <w:szCs w:val="21"/>
              </w:rPr>
              <w:t>变电站</w:t>
            </w:r>
            <w:r>
              <w:rPr>
                <w:rFonts w:hint="eastAsia"/>
                <w:szCs w:val="21"/>
              </w:rPr>
              <w:t>运行后不涉及土建施工，不会对植被生态造成影响。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30" w:hRule="atLeast"/>
          <w:jc w:val="center"/>
        </w:trPr>
        <w:tc>
          <w:tcPr>
            <w:tcW w:w="595" w:type="dxa"/>
            <w:vMerge w:val="continue"/>
            <w:tcBorders>
              <w:left w:val="single" w:color="auto" w:sz="12" w:space="0"/>
              <w:right w:val="single" w:color="auto" w:sz="4" w:space="0"/>
            </w:tcBorders>
            <w:vAlign w:val="center"/>
          </w:tcPr>
          <w:p>
            <w:pPr>
              <w:jc w:val="center"/>
              <w:rPr>
                <w:b/>
                <w:bCs/>
                <w:spacing w:val="-4"/>
                <w:sz w:val="32"/>
                <w:szCs w:val="32"/>
              </w:rPr>
            </w:pPr>
          </w:p>
        </w:tc>
        <w:tc>
          <w:tcPr>
            <w:tcW w:w="811" w:type="dxa"/>
            <w:tcBorders>
              <w:top w:val="single" w:color="auto" w:sz="4" w:space="0"/>
              <w:left w:val="single" w:color="auto" w:sz="4" w:space="0"/>
              <w:right w:val="single" w:color="auto" w:sz="4" w:space="0"/>
            </w:tcBorders>
            <w:vAlign w:val="center"/>
          </w:tcPr>
          <w:p>
            <w:pPr>
              <w:spacing w:line="0" w:lineRule="atLeast"/>
              <w:jc w:val="center"/>
              <w:rPr>
                <w:b/>
                <w:bCs/>
                <w:spacing w:val="-4"/>
                <w:sz w:val="30"/>
                <w:szCs w:val="30"/>
              </w:rPr>
            </w:pPr>
            <w:r>
              <w:rPr>
                <w:rFonts w:hint="eastAsia"/>
                <w:b/>
                <w:bCs/>
                <w:spacing w:val="-4"/>
                <w:sz w:val="30"/>
                <w:szCs w:val="30"/>
              </w:rPr>
              <w:t>污染影响</w:t>
            </w:r>
          </w:p>
        </w:tc>
        <w:tc>
          <w:tcPr>
            <w:tcW w:w="5305" w:type="dxa"/>
            <w:vMerge w:val="restart"/>
            <w:tcBorders>
              <w:top w:val="single" w:color="auto" w:sz="4" w:space="0"/>
              <w:left w:val="single" w:color="auto" w:sz="4" w:space="0"/>
              <w:right w:val="single" w:color="auto" w:sz="4" w:space="0"/>
            </w:tcBorders>
            <w:vAlign w:val="center"/>
          </w:tcPr>
          <w:p>
            <w:pPr>
              <w:numPr>
                <w:ilvl w:val="0"/>
                <w:numId w:val="2"/>
              </w:numPr>
              <w:rPr>
                <w:b/>
                <w:bCs/>
                <w:spacing w:val="-4"/>
                <w:sz w:val="24"/>
                <w:szCs w:val="24"/>
              </w:rPr>
            </w:pPr>
            <w:r>
              <w:rPr>
                <w:rFonts w:hint="eastAsia"/>
                <w:b/>
                <w:bCs/>
                <w:spacing w:val="-4"/>
                <w:sz w:val="24"/>
                <w:szCs w:val="24"/>
              </w:rPr>
              <w:t>水污染物：</w:t>
            </w:r>
          </w:p>
          <w:p>
            <w:pPr>
              <w:rPr>
                <w:rFonts w:ascii="宋体" w:hAnsi="宋体" w:cs="宋体"/>
                <w:szCs w:val="21"/>
              </w:rPr>
            </w:pPr>
            <w:r>
              <w:rPr>
                <w:rFonts w:hint="eastAsia" w:ascii="宋体" w:hAnsi="宋体" w:cs="宋体"/>
                <w:szCs w:val="21"/>
              </w:rPr>
              <w:t>生活污水利用站内化粪池收集</w:t>
            </w:r>
            <w:r>
              <w:rPr>
                <w:rFonts w:hint="eastAsia"/>
                <w:szCs w:val="21"/>
              </w:rPr>
              <w:t>后用于周围农用地施肥。</w:t>
            </w:r>
          </w:p>
          <w:p>
            <w:pPr>
              <w:numPr>
                <w:ilvl w:val="0"/>
                <w:numId w:val="3"/>
              </w:numPr>
              <w:rPr>
                <w:b/>
                <w:bCs/>
              </w:rPr>
            </w:pPr>
            <w:r>
              <w:rPr>
                <w:rFonts w:hint="eastAsia"/>
                <w:b/>
                <w:bCs/>
              </w:rPr>
              <w:t>固体废物</w:t>
            </w:r>
          </w:p>
          <w:p>
            <w:r>
              <w:rPr>
                <w:rFonts w:hint="eastAsia"/>
                <w:bCs/>
              </w:rPr>
              <w:t>生活垃圾利用现场垃圾收集装置收集后，由</w:t>
            </w:r>
            <w:r>
              <w:rPr>
                <w:bCs/>
              </w:rPr>
              <w:t>值守人员不定期带到平武县城垃圾收集</w:t>
            </w:r>
            <w:r>
              <w:rPr>
                <w:rFonts w:hint="eastAsia"/>
                <w:bCs/>
              </w:rPr>
              <w:t>点。</w:t>
            </w:r>
          </w:p>
          <w:p>
            <w:pPr>
              <w:autoSpaceDE w:val="0"/>
              <w:autoSpaceDN w:val="0"/>
              <w:adjustRightInd w:val="0"/>
              <w:rPr>
                <w:b/>
                <w:bCs/>
              </w:rPr>
            </w:pPr>
            <w:r>
              <w:rPr>
                <w:rFonts w:hint="eastAsia"/>
                <w:b/>
                <w:bCs/>
              </w:rPr>
              <w:t>3、电磁环境：</w:t>
            </w:r>
          </w:p>
          <w:p>
            <w:pPr>
              <w:autoSpaceDE w:val="0"/>
              <w:autoSpaceDN w:val="0"/>
              <w:adjustRightInd w:val="0"/>
              <w:rPr>
                <w:szCs w:val="21"/>
              </w:rPr>
            </w:pPr>
            <w:r>
              <w:rPr>
                <w:rFonts w:hint="eastAsia"/>
                <w:szCs w:val="21"/>
              </w:rPr>
              <w:t>本工程建成运行后，变电站厂界四周的工频电场强度及工频磁场强度均应满足相应的限值要求。</w:t>
            </w:r>
          </w:p>
          <w:p>
            <w:pPr>
              <w:autoSpaceDE w:val="0"/>
              <w:autoSpaceDN w:val="0"/>
              <w:adjustRightInd w:val="0"/>
              <w:rPr>
                <w:b/>
                <w:bCs/>
              </w:rPr>
            </w:pPr>
            <w:r>
              <w:rPr>
                <w:rFonts w:hint="eastAsia"/>
                <w:b/>
                <w:bCs/>
              </w:rPr>
              <w:t>4、噪声</w:t>
            </w:r>
          </w:p>
          <w:p>
            <w:pPr>
              <w:autoSpaceDE w:val="0"/>
              <w:autoSpaceDN w:val="0"/>
              <w:adjustRightInd w:val="0"/>
              <w:rPr>
                <w:szCs w:val="21"/>
              </w:rPr>
            </w:pPr>
            <w:r>
              <w:rPr>
                <w:rFonts w:hint="eastAsia"/>
                <w:szCs w:val="21"/>
              </w:rPr>
              <w:t>1、</w:t>
            </w:r>
            <w:r>
              <w:rPr>
                <w:szCs w:val="21"/>
              </w:rPr>
              <w:t>选用噪声低于</w:t>
            </w:r>
            <w:r>
              <w:rPr>
                <w:rFonts w:hint="eastAsia"/>
                <w:szCs w:val="21"/>
              </w:rPr>
              <w:t>65</w:t>
            </w:r>
            <w:r>
              <w:rPr>
                <w:szCs w:val="21"/>
              </w:rPr>
              <w:t>dB（A）的变压器，配电装置采用GIS布置；</w:t>
            </w:r>
          </w:p>
          <w:p>
            <w:pPr>
              <w:autoSpaceDE w:val="0"/>
              <w:autoSpaceDN w:val="0"/>
              <w:adjustRightInd w:val="0"/>
              <w:rPr>
                <w:szCs w:val="21"/>
              </w:rPr>
            </w:pPr>
            <w:r>
              <w:rPr>
                <w:rFonts w:hint="eastAsia"/>
                <w:szCs w:val="21"/>
              </w:rPr>
              <w:t>2、</w:t>
            </w:r>
            <w:r>
              <w:rPr>
                <w:szCs w:val="21"/>
              </w:rPr>
              <w:t>所有通风设备均采用高效低噪音风机，风机箱安装采用减震措施，风管安装消声器</w:t>
            </w:r>
            <w:r>
              <w:rPr>
                <w:rFonts w:hint="eastAsia"/>
                <w:szCs w:val="21"/>
              </w:rPr>
              <w:t>。</w:t>
            </w:r>
          </w:p>
        </w:tc>
        <w:tc>
          <w:tcPr>
            <w:tcW w:w="2691" w:type="dxa"/>
            <w:tcBorders>
              <w:top w:val="single" w:color="auto" w:sz="4" w:space="0"/>
              <w:left w:val="single" w:color="auto" w:sz="4" w:space="0"/>
              <w:bottom w:val="single" w:color="auto" w:sz="2" w:space="0"/>
              <w:right w:val="single" w:color="auto" w:sz="12" w:space="0"/>
            </w:tcBorders>
            <w:vAlign w:val="center"/>
          </w:tcPr>
          <w:p>
            <w:pPr>
              <w:autoSpaceDE w:val="0"/>
              <w:autoSpaceDN w:val="0"/>
              <w:adjustRightInd w:val="0"/>
              <w:rPr>
                <w:szCs w:val="21"/>
              </w:rPr>
            </w:pPr>
            <w:r>
              <w:rPr>
                <w:rFonts w:hint="eastAsia"/>
              </w:rPr>
              <w:t>1、变电站建设了容积为</w:t>
            </w:r>
            <w:r>
              <w:t>2m</w:t>
            </w:r>
            <w:r>
              <w:rPr>
                <w:vertAlign w:val="superscript"/>
              </w:rPr>
              <w:t>3</w:t>
            </w:r>
            <w:r>
              <w:rPr>
                <w:rFonts w:hint="eastAsia"/>
              </w:rPr>
              <w:t>的化粪池，</w:t>
            </w:r>
            <w:r>
              <w:rPr>
                <w:szCs w:val="21"/>
              </w:rPr>
              <w:t>生活污水</w:t>
            </w:r>
            <w:r>
              <w:rPr>
                <w:rFonts w:hint="eastAsia"/>
                <w:szCs w:val="21"/>
              </w:rPr>
              <w:t>经化粪池储存处理后用于周围农用地施肥。2、站内设置了垃圾桶对生活垃圾进行收集，定期送至附近的垃圾投放点。3、已</w:t>
            </w:r>
            <w:r>
              <w:rPr>
                <w:szCs w:val="21"/>
              </w:rPr>
              <w:t>采用高效低噪音风机</w:t>
            </w:r>
            <w:r>
              <w:rPr>
                <w:rFonts w:hint="eastAsia"/>
                <w:szCs w:val="21"/>
              </w:rPr>
              <w:t>。4、</w:t>
            </w:r>
            <w:r>
              <w:rPr>
                <w:rFonts w:hint="eastAsia"/>
              </w:rPr>
              <w:t>根据本次现场监测结果，涉及变电站厂界四周较近的、具有代表性的居民点的噪声、工频电场强度、工频磁场强度均满足限值要求。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65" w:hRule="atLeast"/>
          <w:jc w:val="center"/>
        </w:trPr>
        <w:tc>
          <w:tcPr>
            <w:tcW w:w="595" w:type="dxa"/>
            <w:vMerge w:val="continue"/>
            <w:tcBorders>
              <w:left w:val="single" w:color="auto" w:sz="12" w:space="0"/>
              <w:right w:val="single" w:color="auto" w:sz="4" w:space="0"/>
            </w:tcBorders>
            <w:vAlign w:val="center"/>
          </w:tcPr>
          <w:p>
            <w:pPr>
              <w:jc w:val="center"/>
              <w:rPr>
                <w:b/>
                <w:bCs/>
                <w:spacing w:val="-4"/>
                <w:sz w:val="32"/>
                <w:szCs w:val="32"/>
              </w:rPr>
            </w:pPr>
          </w:p>
        </w:tc>
        <w:tc>
          <w:tcPr>
            <w:tcW w:w="811" w:type="dxa"/>
            <w:tcBorders>
              <w:left w:val="single" w:color="auto" w:sz="4" w:space="0"/>
              <w:right w:val="single" w:color="auto" w:sz="4" w:space="0"/>
            </w:tcBorders>
            <w:vAlign w:val="center"/>
          </w:tcPr>
          <w:p>
            <w:pPr>
              <w:snapToGrid w:val="0"/>
              <w:spacing w:line="0" w:lineRule="atLeast"/>
              <w:jc w:val="center"/>
              <w:rPr>
                <w:b/>
                <w:bCs/>
                <w:spacing w:val="-4"/>
                <w:sz w:val="30"/>
                <w:szCs w:val="30"/>
              </w:rPr>
            </w:pPr>
            <w:r>
              <w:rPr>
                <w:rFonts w:hint="eastAsia"/>
                <w:b/>
                <w:bCs/>
                <w:spacing w:val="-4"/>
                <w:sz w:val="30"/>
                <w:szCs w:val="30"/>
              </w:rPr>
              <w:t>社会</w:t>
            </w:r>
          </w:p>
          <w:p>
            <w:pPr>
              <w:snapToGrid w:val="0"/>
              <w:spacing w:line="0" w:lineRule="atLeast"/>
              <w:jc w:val="center"/>
              <w:rPr>
                <w:b/>
                <w:bCs/>
                <w:spacing w:val="-4"/>
                <w:sz w:val="30"/>
                <w:szCs w:val="30"/>
              </w:rPr>
            </w:pPr>
            <w:r>
              <w:rPr>
                <w:rFonts w:hint="eastAsia"/>
                <w:b/>
                <w:bCs/>
                <w:spacing w:val="-4"/>
                <w:sz w:val="30"/>
                <w:szCs w:val="30"/>
              </w:rPr>
              <w:t>影响</w:t>
            </w:r>
          </w:p>
        </w:tc>
        <w:tc>
          <w:tcPr>
            <w:tcW w:w="5305" w:type="dxa"/>
            <w:tcBorders>
              <w:top w:val="single" w:color="auto" w:sz="4" w:space="0"/>
              <w:left w:val="single" w:color="auto" w:sz="4" w:space="0"/>
              <w:bottom w:val="single" w:color="auto" w:sz="4" w:space="0"/>
              <w:right w:val="single" w:color="auto" w:sz="4" w:space="0"/>
            </w:tcBorders>
            <w:vAlign w:val="center"/>
          </w:tcPr>
          <w:p>
            <w:pPr>
              <w:rPr>
                <w:b/>
                <w:bCs/>
                <w:spacing w:val="-4"/>
                <w:sz w:val="24"/>
                <w:szCs w:val="24"/>
              </w:rPr>
            </w:pPr>
            <w:r>
              <w:rPr>
                <w:rFonts w:hint="eastAsia" w:ascii="宋体" w:hAnsi="宋体" w:cs="宋体"/>
                <w:szCs w:val="21"/>
              </w:rPr>
              <w:t>在运行期间，根据公众的反应，以适当、稳健、有效的方式，积极主动将电网建设环保知识和项目环评结论告知工程区域公众，切实做好宣传、解释工作。</w:t>
            </w:r>
          </w:p>
        </w:tc>
        <w:tc>
          <w:tcPr>
            <w:tcW w:w="2691" w:type="dxa"/>
            <w:tcBorders>
              <w:top w:val="single" w:color="auto" w:sz="4" w:space="0"/>
              <w:left w:val="single" w:color="auto" w:sz="4" w:space="0"/>
              <w:bottom w:val="single" w:color="auto" w:sz="4" w:space="0"/>
              <w:right w:val="single" w:color="auto" w:sz="12" w:space="0"/>
            </w:tcBorders>
            <w:vAlign w:val="center"/>
          </w:tcPr>
          <w:p>
            <w:pPr>
              <w:rPr>
                <w:b/>
                <w:bCs/>
                <w:color w:val="000000"/>
                <w:spacing w:val="-4"/>
                <w:sz w:val="24"/>
                <w:szCs w:val="24"/>
              </w:rPr>
            </w:pPr>
            <w:r>
              <w:rPr>
                <w:rFonts w:hint="eastAsia"/>
                <w:color w:val="000000"/>
                <w:szCs w:val="21"/>
              </w:rPr>
              <w:t>在环评阶段已进行了现场公示，施工阶段也积极向周围群众宣传，运行期间未收到公众投诉。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567" w:hRule="atLeast"/>
          <w:jc w:val="center"/>
        </w:trPr>
        <w:tc>
          <w:tcPr>
            <w:tcW w:w="595" w:type="dxa"/>
            <w:vMerge w:val="continue"/>
            <w:tcBorders>
              <w:left w:val="single" w:color="auto" w:sz="12" w:space="0"/>
              <w:bottom w:val="single" w:color="auto" w:sz="12" w:space="0"/>
              <w:right w:val="single" w:color="auto" w:sz="4" w:space="0"/>
            </w:tcBorders>
            <w:vAlign w:val="center"/>
          </w:tcPr>
          <w:p>
            <w:pPr>
              <w:jc w:val="center"/>
              <w:rPr>
                <w:b/>
                <w:bCs/>
                <w:spacing w:val="-4"/>
                <w:sz w:val="32"/>
                <w:szCs w:val="32"/>
              </w:rPr>
            </w:pPr>
          </w:p>
        </w:tc>
        <w:tc>
          <w:tcPr>
            <w:tcW w:w="811" w:type="dxa"/>
            <w:tcBorders>
              <w:left w:val="single" w:color="auto" w:sz="4" w:space="0"/>
              <w:bottom w:val="single" w:color="auto" w:sz="12" w:space="0"/>
              <w:right w:val="single" w:color="auto" w:sz="4" w:space="0"/>
            </w:tcBorders>
            <w:vAlign w:val="center"/>
          </w:tcPr>
          <w:p>
            <w:pPr>
              <w:spacing w:line="0" w:lineRule="atLeast"/>
              <w:jc w:val="center"/>
              <w:rPr>
                <w:b/>
                <w:bCs/>
                <w:spacing w:val="-4"/>
                <w:sz w:val="28"/>
                <w:szCs w:val="28"/>
              </w:rPr>
            </w:pPr>
            <w:r>
              <w:rPr>
                <w:rFonts w:hint="eastAsia"/>
                <w:b/>
                <w:bCs/>
                <w:spacing w:val="-4"/>
                <w:sz w:val="28"/>
                <w:szCs w:val="28"/>
              </w:rPr>
              <w:t>其它</w:t>
            </w:r>
          </w:p>
        </w:tc>
        <w:tc>
          <w:tcPr>
            <w:tcW w:w="5305" w:type="dxa"/>
            <w:tcBorders>
              <w:top w:val="single" w:color="auto" w:sz="4" w:space="0"/>
              <w:left w:val="single" w:color="auto" w:sz="4" w:space="0"/>
              <w:bottom w:val="single" w:color="auto" w:sz="12" w:space="0"/>
              <w:right w:val="single" w:color="auto" w:sz="4" w:space="0"/>
            </w:tcBorders>
            <w:vAlign w:val="center"/>
          </w:tcPr>
          <w:p>
            <w:pPr>
              <w:autoSpaceDE w:val="0"/>
              <w:autoSpaceDN w:val="0"/>
              <w:adjustRightInd w:val="0"/>
            </w:pPr>
            <w:r>
              <w:rPr>
                <w:rFonts w:hint="eastAsia"/>
                <w:b/>
                <w:bCs/>
              </w:rPr>
              <w:t>风险事故预防措施：</w:t>
            </w:r>
            <w:r>
              <w:rPr>
                <w:rFonts w:hint="eastAsia"/>
              </w:rPr>
              <w:t>本项目环境风险为新建变电站主变事故时产生的事故油。主变事故时产生的事故油经站内设有事故油池收集后，由有资质的单位回收利用，不外排。根据《废矿物油回收利用污染控制技术规范》（</w:t>
            </w:r>
            <w:r>
              <w:t>HJ607-2011</w:t>
            </w:r>
            <w:r>
              <w:rPr>
                <w:rFonts w:hint="eastAsia"/>
              </w:rPr>
              <w:t>），事故油池应远离火源布置，具有防渗漏、防流失等功能，密闭时应设置呼吸孔，安装防护罩，防治杂质落入；事故油运输过程中应采用密闭容器进行转运，防治倾倒、溢流。</w:t>
            </w:r>
          </w:p>
        </w:tc>
        <w:tc>
          <w:tcPr>
            <w:tcW w:w="2691" w:type="dxa"/>
            <w:tcBorders>
              <w:top w:val="single" w:color="auto" w:sz="4" w:space="0"/>
              <w:left w:val="single" w:color="auto" w:sz="4" w:space="0"/>
              <w:bottom w:val="single" w:color="auto" w:sz="12" w:space="0"/>
              <w:right w:val="single" w:color="auto" w:sz="12" w:space="0"/>
            </w:tcBorders>
            <w:vAlign w:val="center"/>
          </w:tcPr>
          <w:p>
            <w:r>
              <w:rPr>
                <w:rFonts w:hint="eastAsia"/>
                <w:szCs w:val="21"/>
              </w:rPr>
              <w:t>变电站原有15m</w:t>
            </w:r>
            <w:r>
              <w:rPr>
                <w:rFonts w:hint="eastAsia"/>
                <w:szCs w:val="21"/>
                <w:vertAlign w:val="superscript"/>
              </w:rPr>
              <w:t>3</w:t>
            </w:r>
            <w:r>
              <w:rPr>
                <w:rFonts w:hint="eastAsia"/>
                <w:szCs w:val="21"/>
              </w:rPr>
              <w:t>事故油池，重建后满足设计规范要求，</w:t>
            </w:r>
            <w:r>
              <w:rPr>
                <w:szCs w:val="21"/>
              </w:rPr>
              <w:t>本项目变压器油在正常情况下过滤后回用，不会产生废油。</w:t>
            </w:r>
            <w:r>
              <w:rPr>
                <w:rFonts w:hint="eastAsia"/>
                <w:szCs w:val="21"/>
              </w:rPr>
              <w:t>公司承诺，如发生事故（目前尚未产生），事故油池内的废油将委托有资质单位进行回收处置。</w:t>
            </w:r>
          </w:p>
        </w:tc>
      </w:tr>
    </w:tbl>
    <w:p>
      <w:pPr>
        <w:rPr>
          <w:b/>
          <w:sz w:val="32"/>
          <w:szCs w:val="32"/>
        </w:rPr>
        <w:sectPr>
          <w:pgSz w:w="11906" w:h="16838"/>
          <w:pgMar w:top="1440" w:right="1800" w:bottom="1440" w:left="1800" w:header="851" w:footer="992" w:gutter="0"/>
          <w:cols w:space="720" w:num="1"/>
          <w:docGrid w:type="lines" w:linePitch="312" w:charSpace="0"/>
        </w:sectPr>
      </w:pPr>
    </w:p>
    <w:p>
      <w:pPr>
        <w:pStyle w:val="2"/>
        <w:spacing w:before="0" w:after="0" w:line="360" w:lineRule="auto"/>
        <w:rPr>
          <w:rFonts w:ascii="宋体" w:hAnsi="宋体"/>
          <w:sz w:val="32"/>
          <w:szCs w:val="32"/>
        </w:rPr>
      </w:pPr>
      <w:bookmarkStart w:id="8" w:name="_Toc483476025"/>
      <w:r>
        <w:rPr>
          <w:rFonts w:hint="eastAsia" w:ascii="宋体" w:hAnsi="宋体"/>
          <w:sz w:val="32"/>
          <w:szCs w:val="32"/>
        </w:rPr>
        <w:t>表七、电磁环境、声环境监测</w:t>
      </w:r>
      <w:bookmarkEnd w:id="8"/>
    </w:p>
    <w:tbl>
      <w:tblPr>
        <w:tblStyle w:val="17"/>
        <w:tblW w:w="910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907" w:hRule="atLeast"/>
        </w:trPr>
        <w:tc>
          <w:tcPr>
            <w:tcW w:w="644" w:type="dxa"/>
            <w:tcBorders>
              <w:top w:val="single" w:color="auto" w:sz="12" w:space="0"/>
              <w:left w:val="single" w:color="auto" w:sz="12" w:space="0"/>
              <w:bottom w:val="single" w:color="auto" w:sz="12" w:space="0"/>
              <w:right w:val="single" w:color="auto" w:sz="12" w:space="0"/>
            </w:tcBorders>
            <w:vAlign w:val="center"/>
          </w:tcPr>
          <w:p>
            <w:pPr>
              <w:spacing w:line="400" w:lineRule="exact"/>
              <w:jc w:val="center"/>
              <w:rPr>
                <w:rFonts w:ascii="宋体" w:hAnsi="宋体" w:cs="宋体"/>
                <w:b/>
                <w:sz w:val="24"/>
                <w:szCs w:val="24"/>
              </w:rPr>
            </w:pPr>
            <w:r>
              <w:rPr>
                <w:rFonts w:hint="eastAsia" w:ascii="宋体" w:hAnsi="宋体" w:cs="宋体"/>
                <w:b/>
                <w:sz w:val="24"/>
                <w:szCs w:val="24"/>
              </w:rPr>
              <w:t>电</w:t>
            </w:r>
          </w:p>
          <w:p>
            <w:pPr>
              <w:spacing w:line="400" w:lineRule="exact"/>
              <w:jc w:val="center"/>
              <w:rPr>
                <w:rFonts w:ascii="宋体" w:hAnsi="宋体" w:cs="宋体"/>
                <w:b/>
                <w:sz w:val="24"/>
                <w:szCs w:val="24"/>
              </w:rPr>
            </w:pPr>
            <w:r>
              <w:rPr>
                <w:rFonts w:hint="eastAsia" w:ascii="宋体" w:hAnsi="宋体" w:cs="宋体"/>
                <w:b/>
                <w:sz w:val="24"/>
                <w:szCs w:val="24"/>
              </w:rPr>
              <w:t>磁</w:t>
            </w:r>
          </w:p>
          <w:p>
            <w:pPr>
              <w:spacing w:line="400" w:lineRule="exact"/>
              <w:jc w:val="center"/>
              <w:rPr>
                <w:rFonts w:ascii="宋体" w:hAnsi="宋体" w:cs="宋体"/>
                <w:b/>
                <w:sz w:val="24"/>
                <w:szCs w:val="24"/>
              </w:rPr>
            </w:pPr>
            <w:r>
              <w:rPr>
                <w:rFonts w:hint="eastAsia" w:ascii="宋体" w:hAnsi="宋体" w:cs="宋体"/>
                <w:b/>
                <w:sz w:val="24"/>
                <w:szCs w:val="24"/>
              </w:rPr>
              <w:t>环</w:t>
            </w:r>
          </w:p>
          <w:p>
            <w:pPr>
              <w:spacing w:line="400" w:lineRule="exact"/>
              <w:jc w:val="center"/>
              <w:rPr>
                <w:rFonts w:ascii="宋体" w:hAnsi="宋体" w:cs="宋体"/>
                <w:b/>
                <w:sz w:val="24"/>
                <w:szCs w:val="24"/>
              </w:rPr>
            </w:pPr>
            <w:r>
              <w:rPr>
                <w:rFonts w:hint="eastAsia" w:ascii="宋体" w:hAnsi="宋体" w:cs="宋体"/>
                <w:b/>
                <w:sz w:val="24"/>
                <w:szCs w:val="24"/>
              </w:rPr>
              <w:t>境</w:t>
            </w:r>
          </w:p>
          <w:p>
            <w:pPr>
              <w:spacing w:line="400" w:lineRule="exact"/>
              <w:jc w:val="center"/>
              <w:rPr>
                <w:rFonts w:ascii="宋体" w:hAnsi="宋体" w:cs="宋体"/>
                <w:b/>
                <w:sz w:val="24"/>
                <w:szCs w:val="24"/>
              </w:rPr>
            </w:pPr>
            <w:r>
              <w:rPr>
                <w:rFonts w:hint="eastAsia" w:ascii="宋体" w:hAnsi="宋体" w:cs="宋体"/>
                <w:b/>
                <w:sz w:val="24"/>
                <w:szCs w:val="24"/>
              </w:rPr>
              <w:t>监</w:t>
            </w:r>
          </w:p>
          <w:p>
            <w:pPr>
              <w:spacing w:line="400" w:lineRule="exact"/>
              <w:jc w:val="center"/>
              <w:rPr>
                <w:rFonts w:eastAsia="仿宋_GB2312"/>
                <w:b/>
                <w:sz w:val="24"/>
                <w:szCs w:val="24"/>
              </w:rPr>
            </w:pPr>
            <w:r>
              <w:rPr>
                <w:rFonts w:hint="eastAsia" w:ascii="宋体" w:hAnsi="宋体" w:cs="宋体"/>
                <w:b/>
                <w:sz w:val="24"/>
                <w:szCs w:val="24"/>
              </w:rPr>
              <w:t>测</w:t>
            </w:r>
          </w:p>
        </w:tc>
        <w:tc>
          <w:tcPr>
            <w:tcW w:w="8460" w:type="dxa"/>
            <w:tcBorders>
              <w:top w:val="single" w:color="auto" w:sz="12" w:space="0"/>
              <w:left w:val="single" w:color="auto" w:sz="12" w:space="0"/>
              <w:bottom w:val="single" w:color="auto" w:sz="12" w:space="0"/>
              <w:right w:val="single" w:color="auto" w:sz="12" w:space="0"/>
            </w:tcBorders>
          </w:tcPr>
          <w:p>
            <w:pPr>
              <w:spacing w:line="360" w:lineRule="auto"/>
              <w:rPr>
                <w:b/>
                <w:bCs/>
                <w:sz w:val="24"/>
              </w:rPr>
            </w:pPr>
            <w:r>
              <w:rPr>
                <w:rFonts w:hint="eastAsia"/>
                <w:b/>
                <w:bCs/>
                <w:sz w:val="24"/>
              </w:rPr>
              <w:t>7.1监测因子及监测频次</w:t>
            </w:r>
          </w:p>
          <w:p>
            <w:pPr>
              <w:spacing w:line="360" w:lineRule="auto"/>
              <w:rPr>
                <w:sz w:val="24"/>
              </w:rPr>
            </w:pPr>
            <w:r>
              <w:rPr>
                <w:rFonts w:hint="eastAsia"/>
                <w:sz w:val="24"/>
              </w:rPr>
              <w:t xml:space="preserve">   根据对项目的工程分析、现场调查，得出本次验收监测因子与监测频次如下：</w:t>
            </w:r>
          </w:p>
          <w:p>
            <w:pPr>
              <w:spacing w:line="360" w:lineRule="auto"/>
              <w:rPr>
                <w:sz w:val="24"/>
              </w:rPr>
            </w:pPr>
            <w:r>
              <w:rPr>
                <w:rFonts w:hint="eastAsia"/>
                <w:sz w:val="24"/>
              </w:rPr>
              <w:t xml:space="preserve">   工频电磁场：工频电场强度E（监测一次）、</w:t>
            </w:r>
          </w:p>
          <w:p>
            <w:pPr>
              <w:spacing w:line="360" w:lineRule="auto"/>
              <w:rPr>
                <w:sz w:val="24"/>
              </w:rPr>
            </w:pPr>
            <w:r>
              <w:rPr>
                <w:rFonts w:hint="eastAsia"/>
                <w:sz w:val="24"/>
              </w:rPr>
              <w:t xml:space="preserve">               工频磁场强度H或工频磁感应强度B（监测一次）。</w:t>
            </w:r>
          </w:p>
          <w:p>
            <w:pPr>
              <w:spacing w:line="360" w:lineRule="auto"/>
              <w:rPr>
                <w:b/>
                <w:bCs/>
                <w:sz w:val="24"/>
              </w:rPr>
            </w:pPr>
            <w:r>
              <w:rPr>
                <w:rFonts w:hint="eastAsia"/>
                <w:b/>
                <w:bCs/>
                <w:sz w:val="24"/>
              </w:rPr>
              <w:t>7.2监测方法及监测布点</w:t>
            </w:r>
          </w:p>
          <w:p>
            <w:pPr>
              <w:spacing w:line="336" w:lineRule="auto"/>
              <w:outlineLvl w:val="1"/>
              <w:rPr>
                <w:sz w:val="24"/>
                <w:szCs w:val="24"/>
              </w:rPr>
            </w:pPr>
            <w:bookmarkStart w:id="9" w:name="_Toc483476026"/>
            <w:bookmarkStart w:id="10" w:name="_Toc455152064"/>
            <w:bookmarkStart w:id="11" w:name="_Toc417390706"/>
            <w:r>
              <w:rPr>
                <w:rFonts w:hint="eastAsia"/>
                <w:b/>
                <w:bCs/>
                <w:sz w:val="24"/>
                <w:szCs w:val="24"/>
              </w:rPr>
              <w:t>1、监测分析方法</w:t>
            </w:r>
            <w:bookmarkEnd w:id="9"/>
            <w:bookmarkEnd w:id="10"/>
            <w:bookmarkEnd w:id="11"/>
          </w:p>
          <w:p>
            <w:pPr>
              <w:spacing w:line="336" w:lineRule="auto"/>
              <w:rPr>
                <w:sz w:val="24"/>
              </w:rPr>
            </w:pPr>
            <w:r>
              <w:rPr>
                <w:rFonts w:hint="eastAsia"/>
                <w:sz w:val="24"/>
              </w:rPr>
              <w:t xml:space="preserve">   验收监测严格执行国家及行业标准监测分析方法，执行监测标准及规范如下：</w:t>
            </w:r>
          </w:p>
          <w:p>
            <w:pPr>
              <w:spacing w:line="336" w:lineRule="auto"/>
              <w:ind w:firstLine="361" w:firstLineChars="150"/>
              <w:rPr>
                <w:b/>
                <w:sz w:val="24"/>
              </w:rPr>
            </w:pPr>
            <w:r>
              <w:rPr>
                <w:rFonts w:hint="eastAsia"/>
                <w:b/>
                <w:sz w:val="24"/>
              </w:rPr>
              <w:t>工频电磁场：</w:t>
            </w:r>
          </w:p>
          <w:p>
            <w:pPr>
              <w:spacing w:line="336" w:lineRule="auto"/>
              <w:ind w:firstLine="360" w:firstLineChars="150"/>
              <w:rPr>
                <w:sz w:val="24"/>
              </w:rPr>
            </w:pPr>
            <w:r>
              <w:rPr>
                <w:rFonts w:hint="eastAsia"/>
                <w:sz w:val="24"/>
              </w:rPr>
              <w:t>《电磁环境控制限制》（GB8702</w:t>
            </w:r>
            <w:r>
              <w:rPr>
                <w:sz w:val="24"/>
              </w:rPr>
              <w:t>-</w:t>
            </w:r>
            <w:r>
              <w:rPr>
                <w:rFonts w:hint="eastAsia"/>
                <w:sz w:val="24"/>
              </w:rPr>
              <w:t>2014）；</w:t>
            </w:r>
          </w:p>
          <w:p>
            <w:pPr>
              <w:spacing w:line="336" w:lineRule="auto"/>
              <w:ind w:firstLine="360" w:firstLineChars="150"/>
              <w:rPr>
                <w:sz w:val="24"/>
              </w:rPr>
            </w:pPr>
            <w:r>
              <w:rPr>
                <w:rFonts w:hint="eastAsia"/>
                <w:sz w:val="24"/>
              </w:rPr>
              <w:t>《交流输变电工程电磁环境监测方法（试行）》（</w:t>
            </w:r>
            <w:r>
              <w:rPr>
                <w:bCs/>
                <w:sz w:val="24"/>
              </w:rPr>
              <w:t>HJ 681-2013</w:t>
            </w:r>
            <w:r>
              <w:rPr>
                <w:rFonts w:hint="eastAsia"/>
                <w:sz w:val="24"/>
              </w:rPr>
              <w:t>）；</w:t>
            </w:r>
          </w:p>
          <w:p>
            <w:pPr>
              <w:spacing w:line="336" w:lineRule="auto"/>
              <w:ind w:firstLine="360" w:firstLineChars="150"/>
              <w:rPr>
                <w:sz w:val="24"/>
              </w:rPr>
            </w:pPr>
            <w:r>
              <w:rPr>
                <w:rFonts w:hint="eastAsia"/>
                <w:sz w:val="24"/>
              </w:rPr>
              <w:t>《环境影响评价技术导则》（HJ24-2014）；</w:t>
            </w:r>
          </w:p>
          <w:p>
            <w:pPr>
              <w:spacing w:line="336" w:lineRule="auto"/>
              <w:ind w:firstLine="360" w:firstLineChars="150"/>
              <w:rPr>
                <w:sz w:val="24"/>
              </w:rPr>
            </w:pPr>
            <w:r>
              <w:rPr>
                <w:rFonts w:hint="eastAsia"/>
                <w:sz w:val="24"/>
              </w:rPr>
              <w:t>《辐射环境保护管理导则</w:t>
            </w:r>
            <w:r>
              <w:rPr>
                <w:rFonts w:hint="eastAsia"/>
                <w:sz w:val="24"/>
              </w:rPr>
              <w:sym w:font="Symbol" w:char="00B7"/>
            </w:r>
            <w:r>
              <w:rPr>
                <w:rFonts w:hint="eastAsia"/>
                <w:sz w:val="24"/>
              </w:rPr>
              <w:t>电磁辐射监测仪器和方法》（HJ/T 10.2-1996）；</w:t>
            </w:r>
          </w:p>
          <w:p>
            <w:pPr>
              <w:spacing w:line="336" w:lineRule="auto"/>
              <w:ind w:firstLine="360" w:firstLineChars="150"/>
              <w:rPr>
                <w:sz w:val="24"/>
              </w:rPr>
            </w:pPr>
            <w:r>
              <w:rPr>
                <w:rFonts w:hint="eastAsia"/>
                <w:sz w:val="24"/>
              </w:rPr>
              <w:t>《建设项目竣工环境保护验收技术规范 输变电工程》（</w:t>
            </w:r>
            <w:r>
              <w:rPr>
                <w:bCs/>
                <w:sz w:val="24"/>
              </w:rPr>
              <w:t xml:space="preserve">HJ </w:t>
            </w:r>
            <w:r>
              <w:rPr>
                <w:rFonts w:hint="eastAsia"/>
                <w:bCs/>
                <w:sz w:val="24"/>
              </w:rPr>
              <w:t>705</w:t>
            </w:r>
            <w:r>
              <w:rPr>
                <w:bCs/>
                <w:sz w:val="24"/>
              </w:rPr>
              <w:t>-201</w:t>
            </w:r>
            <w:r>
              <w:rPr>
                <w:rFonts w:hint="eastAsia"/>
                <w:bCs/>
                <w:sz w:val="24"/>
              </w:rPr>
              <w:t>4</w:t>
            </w:r>
            <w:r>
              <w:rPr>
                <w:rFonts w:hint="eastAsia"/>
                <w:sz w:val="24"/>
              </w:rPr>
              <w:t>）。</w:t>
            </w:r>
          </w:p>
          <w:p>
            <w:pPr>
              <w:numPr>
                <w:ilvl w:val="0"/>
                <w:numId w:val="4"/>
              </w:numPr>
              <w:spacing w:line="360" w:lineRule="auto"/>
              <w:rPr>
                <w:b/>
                <w:bCs/>
                <w:sz w:val="24"/>
              </w:rPr>
            </w:pPr>
            <w:r>
              <w:rPr>
                <w:rFonts w:hint="eastAsia"/>
                <w:b/>
                <w:bCs/>
                <w:sz w:val="24"/>
              </w:rPr>
              <w:t>工程监测布点</w:t>
            </w:r>
          </w:p>
          <w:p>
            <w:pPr>
              <w:spacing w:line="360" w:lineRule="auto"/>
              <w:ind w:firstLine="480" w:firstLineChars="200"/>
              <w:rPr>
                <w:sz w:val="24"/>
              </w:rPr>
            </w:pPr>
            <w:r>
              <w:rPr>
                <w:rFonts w:hint="eastAsia"/>
                <w:sz w:val="24"/>
              </w:rPr>
              <w:t>验收监测点位选取于验收监测范围所列范围内，布点一般原则如下：</w:t>
            </w:r>
          </w:p>
          <w:p>
            <w:pPr>
              <w:spacing w:line="360" w:lineRule="auto"/>
              <w:ind w:firstLine="480" w:firstLineChars="200"/>
              <w:rPr>
                <w:sz w:val="24"/>
              </w:rPr>
            </w:pPr>
            <w:r>
              <w:rPr>
                <w:sz w:val="24"/>
              </w:rPr>
              <w:t>1</w:t>
            </w:r>
            <w:r>
              <w:rPr>
                <w:rFonts w:hint="eastAsia"/>
                <w:sz w:val="24"/>
              </w:rPr>
              <w:t>、变电站：监测点应选择在无进出线或远离进出线（距离边导线地面投影不少于</w:t>
            </w:r>
            <w:r>
              <w:rPr>
                <w:sz w:val="24"/>
              </w:rPr>
              <w:t>20m</w:t>
            </w:r>
            <w:r>
              <w:rPr>
                <w:rFonts w:hint="eastAsia"/>
                <w:sz w:val="24"/>
              </w:rPr>
              <w:t>）的围墙外且距离围墙</w:t>
            </w:r>
            <w:r>
              <w:rPr>
                <w:sz w:val="24"/>
              </w:rPr>
              <w:t>5m</w:t>
            </w:r>
            <w:r>
              <w:rPr>
                <w:rFonts w:hint="eastAsia"/>
                <w:sz w:val="24"/>
              </w:rPr>
              <w:t>处布置。如果在其他位置监测，应记录监测点与围墙的相对位置关系以及周围的环境情况。</w:t>
            </w:r>
          </w:p>
          <w:p>
            <w:pPr>
              <w:spacing w:line="360" w:lineRule="auto"/>
              <w:ind w:firstLine="480" w:firstLineChars="200"/>
              <w:rPr>
                <w:sz w:val="24"/>
              </w:rPr>
            </w:pPr>
            <w:r>
              <w:rPr>
                <w:sz w:val="24"/>
              </w:rPr>
              <w:t>2</w:t>
            </w:r>
            <w:r>
              <w:rPr>
                <w:rFonts w:hint="eastAsia"/>
                <w:sz w:val="24"/>
              </w:rPr>
              <w:t>、敏感点：主要考虑变电站相对较近的民房，监测点位一般位于敏感点靠近变电站一侧。根据现场调查情况，本次验收监测选择了有代表性的敏感目标（见表2</w:t>
            </w:r>
            <w:r>
              <w:rPr>
                <w:sz w:val="24"/>
              </w:rPr>
              <w:t>-</w:t>
            </w:r>
            <w:r>
              <w:rPr>
                <w:rFonts w:hint="eastAsia"/>
                <w:sz w:val="24"/>
              </w:rPr>
              <w:t>1）。</w:t>
            </w:r>
          </w:p>
          <w:p>
            <w:pPr>
              <w:spacing w:line="360" w:lineRule="auto"/>
              <w:ind w:firstLine="480" w:firstLineChars="200"/>
              <w:rPr>
                <w:b/>
                <w:bCs/>
                <w:sz w:val="24"/>
              </w:rPr>
            </w:pPr>
            <w:r>
              <w:rPr>
                <w:sz w:val="24"/>
              </w:rPr>
              <w:t>3</w:t>
            </w:r>
            <w:r>
              <w:rPr>
                <w:rFonts w:hint="eastAsia"/>
                <w:sz w:val="24"/>
              </w:rPr>
              <w:t>、监测断面：为了更好地了解变电站和线路产生的工频电磁场的空间分布特性，对变电站和线路进行监测断面是必要，但受工程所在地周围地形限制，断面监测不能每个项目都能得以实施，因此断面监测主要针对有断面测试条件的变电站和线路进行，</w:t>
            </w:r>
            <w:r>
              <w:rPr>
                <w:rFonts w:hint="eastAsia"/>
                <w:b/>
                <w:sz w:val="24"/>
              </w:rPr>
              <w:t>本次验收变电站站界四周不满足断面监测条件</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153" w:hRule="atLeast"/>
        </w:trPr>
        <w:tc>
          <w:tcPr>
            <w:tcW w:w="644" w:type="dxa"/>
            <w:tcBorders>
              <w:top w:val="single" w:color="auto" w:sz="12" w:space="0"/>
              <w:left w:val="single" w:color="auto" w:sz="12" w:space="0"/>
              <w:bottom w:val="single" w:color="auto" w:sz="12" w:space="0"/>
              <w:right w:val="single" w:color="auto" w:sz="12" w:space="0"/>
            </w:tcBorders>
            <w:vAlign w:val="center"/>
          </w:tcPr>
          <w:p>
            <w:pPr>
              <w:spacing w:line="400" w:lineRule="exact"/>
              <w:jc w:val="center"/>
              <w:rPr>
                <w:rFonts w:ascii="宋体" w:hAnsi="宋体" w:cs="宋体"/>
                <w:b/>
                <w:sz w:val="24"/>
                <w:szCs w:val="24"/>
              </w:rPr>
            </w:pPr>
            <w:r>
              <w:rPr>
                <w:rFonts w:hint="eastAsia" w:ascii="宋体" w:hAnsi="宋体" w:cs="宋体"/>
                <w:b/>
                <w:sz w:val="24"/>
                <w:szCs w:val="24"/>
              </w:rPr>
              <w:t>电</w:t>
            </w:r>
          </w:p>
          <w:p>
            <w:pPr>
              <w:spacing w:line="400" w:lineRule="exact"/>
              <w:jc w:val="center"/>
              <w:rPr>
                <w:rFonts w:ascii="宋体" w:hAnsi="宋体" w:cs="宋体"/>
                <w:b/>
                <w:sz w:val="24"/>
                <w:szCs w:val="24"/>
              </w:rPr>
            </w:pPr>
            <w:r>
              <w:rPr>
                <w:rFonts w:hint="eastAsia" w:ascii="宋体" w:hAnsi="宋体" w:cs="宋体"/>
                <w:b/>
                <w:sz w:val="24"/>
                <w:szCs w:val="24"/>
              </w:rPr>
              <w:t>磁</w:t>
            </w:r>
          </w:p>
          <w:p>
            <w:pPr>
              <w:spacing w:line="400" w:lineRule="exact"/>
              <w:jc w:val="center"/>
              <w:rPr>
                <w:rFonts w:ascii="宋体" w:hAnsi="宋体" w:cs="宋体"/>
                <w:b/>
                <w:sz w:val="24"/>
                <w:szCs w:val="24"/>
              </w:rPr>
            </w:pPr>
            <w:r>
              <w:rPr>
                <w:rFonts w:hint="eastAsia" w:ascii="宋体" w:hAnsi="宋体" w:cs="宋体"/>
                <w:b/>
                <w:sz w:val="24"/>
                <w:szCs w:val="24"/>
              </w:rPr>
              <w:t>环</w:t>
            </w:r>
          </w:p>
          <w:p>
            <w:pPr>
              <w:spacing w:line="400" w:lineRule="exact"/>
              <w:jc w:val="center"/>
              <w:rPr>
                <w:rFonts w:ascii="宋体" w:hAnsi="宋体" w:cs="宋体"/>
                <w:b/>
                <w:sz w:val="24"/>
                <w:szCs w:val="24"/>
              </w:rPr>
            </w:pPr>
            <w:r>
              <w:rPr>
                <w:rFonts w:hint="eastAsia" w:ascii="宋体" w:hAnsi="宋体" w:cs="宋体"/>
                <w:b/>
                <w:sz w:val="24"/>
                <w:szCs w:val="24"/>
              </w:rPr>
              <w:t>境</w:t>
            </w:r>
          </w:p>
          <w:p>
            <w:pPr>
              <w:spacing w:line="400" w:lineRule="exact"/>
              <w:jc w:val="center"/>
              <w:rPr>
                <w:rFonts w:ascii="宋体" w:hAnsi="宋体" w:cs="宋体"/>
                <w:b/>
                <w:sz w:val="24"/>
                <w:szCs w:val="24"/>
              </w:rPr>
            </w:pPr>
            <w:r>
              <w:rPr>
                <w:rFonts w:hint="eastAsia" w:ascii="宋体" w:hAnsi="宋体" w:cs="宋体"/>
                <w:b/>
                <w:sz w:val="24"/>
                <w:szCs w:val="24"/>
              </w:rPr>
              <w:t>监</w:t>
            </w:r>
          </w:p>
          <w:p>
            <w:pPr>
              <w:spacing w:line="400" w:lineRule="exact"/>
              <w:jc w:val="center"/>
              <w:rPr>
                <w:rFonts w:ascii="宋体" w:hAnsi="宋体" w:cs="宋体"/>
                <w:b/>
                <w:sz w:val="24"/>
                <w:szCs w:val="24"/>
              </w:rPr>
            </w:pPr>
            <w:r>
              <w:rPr>
                <w:rFonts w:hint="eastAsia" w:ascii="宋体" w:hAnsi="宋体" w:cs="宋体"/>
                <w:b/>
                <w:sz w:val="24"/>
                <w:szCs w:val="24"/>
              </w:rPr>
              <w:t>测</w:t>
            </w:r>
          </w:p>
        </w:tc>
        <w:tc>
          <w:tcPr>
            <w:tcW w:w="8460" w:type="dxa"/>
            <w:tcBorders>
              <w:top w:val="single" w:color="auto" w:sz="12" w:space="0"/>
              <w:left w:val="single" w:color="auto" w:sz="12" w:space="0"/>
              <w:bottom w:val="single" w:color="auto" w:sz="12" w:space="0"/>
              <w:right w:val="single" w:color="auto" w:sz="12" w:space="0"/>
            </w:tcBorders>
          </w:tcPr>
          <w:p>
            <w:pPr>
              <w:spacing w:line="360" w:lineRule="auto"/>
              <w:rPr>
                <w:b/>
                <w:bCs/>
                <w:sz w:val="24"/>
                <w:szCs w:val="24"/>
              </w:rPr>
            </w:pPr>
            <w:r>
              <w:rPr>
                <w:rFonts w:hint="eastAsia"/>
                <w:b/>
                <w:bCs/>
                <w:sz w:val="24"/>
                <w:szCs w:val="24"/>
              </w:rPr>
              <w:t>7.3监测单位、监测时间、监测环境条件</w:t>
            </w:r>
          </w:p>
          <w:p>
            <w:pPr>
              <w:numPr>
                <w:ilvl w:val="0"/>
                <w:numId w:val="5"/>
              </w:numPr>
              <w:spacing w:line="360" w:lineRule="auto"/>
              <w:rPr>
                <w:b/>
                <w:bCs/>
                <w:sz w:val="24"/>
                <w:szCs w:val="24"/>
              </w:rPr>
            </w:pPr>
            <w:r>
              <w:rPr>
                <w:rFonts w:hint="eastAsia"/>
                <w:b/>
                <w:bCs/>
                <w:sz w:val="24"/>
                <w:szCs w:val="24"/>
              </w:rPr>
              <w:t>监测单位：</w:t>
            </w:r>
          </w:p>
          <w:p>
            <w:pPr>
              <w:spacing w:line="360" w:lineRule="auto"/>
              <w:rPr>
                <w:b/>
                <w:bCs/>
                <w:sz w:val="24"/>
                <w:szCs w:val="24"/>
              </w:rPr>
            </w:pPr>
            <w:r>
              <w:rPr>
                <w:rFonts w:hint="eastAsia"/>
                <w:sz w:val="24"/>
              </w:rPr>
              <w:t>四川省辐射环境管理监测中心站</w:t>
            </w:r>
          </w:p>
          <w:p>
            <w:pPr>
              <w:numPr>
                <w:ilvl w:val="0"/>
                <w:numId w:val="5"/>
              </w:numPr>
              <w:spacing w:line="360" w:lineRule="auto"/>
              <w:rPr>
                <w:sz w:val="24"/>
              </w:rPr>
            </w:pPr>
            <w:r>
              <w:rPr>
                <w:rFonts w:hint="eastAsia"/>
                <w:b/>
                <w:bCs/>
                <w:sz w:val="24"/>
                <w:szCs w:val="24"/>
              </w:rPr>
              <w:t>监测时间：</w:t>
            </w:r>
          </w:p>
          <w:p>
            <w:pPr>
              <w:spacing w:line="360" w:lineRule="auto"/>
              <w:rPr>
                <w:sz w:val="24"/>
              </w:rPr>
            </w:pPr>
            <w:r>
              <w:rPr>
                <w:sz w:val="24"/>
              </w:rPr>
              <w:t>201</w:t>
            </w:r>
            <w:r>
              <w:rPr>
                <w:rFonts w:hint="eastAsia"/>
                <w:sz w:val="24"/>
              </w:rPr>
              <w:t>8</w:t>
            </w:r>
            <w:r>
              <w:rPr>
                <w:sz w:val="24"/>
              </w:rPr>
              <w:t>年</w:t>
            </w:r>
            <w:r>
              <w:rPr>
                <w:rFonts w:hint="eastAsia"/>
                <w:bCs/>
                <w:sz w:val="24"/>
              </w:rPr>
              <w:t xml:space="preserve">5月23日 </w:t>
            </w:r>
            <w:r>
              <w:rPr>
                <w:sz w:val="24"/>
              </w:rPr>
              <w:t>10:00～</w:t>
            </w:r>
            <w:r>
              <w:rPr>
                <w:rFonts w:hint="eastAsia"/>
                <w:sz w:val="24"/>
              </w:rPr>
              <w:t xml:space="preserve">12:20  </w:t>
            </w:r>
          </w:p>
          <w:p>
            <w:pPr>
              <w:spacing w:line="360" w:lineRule="auto"/>
              <w:rPr>
                <w:b/>
                <w:bCs/>
                <w:sz w:val="24"/>
                <w:szCs w:val="24"/>
              </w:rPr>
            </w:pPr>
            <w:r>
              <w:rPr>
                <w:rFonts w:hint="eastAsia"/>
                <w:b/>
                <w:bCs/>
                <w:sz w:val="24"/>
                <w:szCs w:val="24"/>
              </w:rPr>
              <w:t xml:space="preserve">3、监测环境条件： </w:t>
            </w:r>
          </w:p>
          <w:p>
            <w:pPr>
              <w:spacing w:line="360" w:lineRule="auto"/>
              <w:ind w:firstLine="840" w:firstLineChars="350"/>
              <w:rPr>
                <w:sz w:val="24"/>
              </w:rPr>
            </w:pPr>
            <w:r>
              <w:rPr>
                <w:rFonts w:hint="eastAsia"/>
                <w:sz w:val="24"/>
              </w:rPr>
              <w:t>气候条件：</w:t>
            </w:r>
            <w:r>
              <w:rPr>
                <w:rFonts w:hint="eastAsia"/>
                <w:bCs/>
                <w:sz w:val="24"/>
              </w:rPr>
              <w:t>环境温度：</w:t>
            </w:r>
            <w:r>
              <w:rPr>
                <w:bCs/>
                <w:sz w:val="24"/>
              </w:rPr>
              <w:t>27.</w:t>
            </w:r>
            <w:r>
              <w:rPr>
                <w:rFonts w:hint="eastAsia"/>
                <w:bCs/>
                <w:sz w:val="24"/>
              </w:rPr>
              <w:t>1</w:t>
            </w:r>
            <w:r>
              <w:rPr>
                <w:bCs/>
                <w:sz w:val="24"/>
              </w:rPr>
              <w:t>~</w:t>
            </w:r>
            <w:r>
              <w:rPr>
                <w:rFonts w:hint="eastAsia"/>
                <w:bCs/>
                <w:sz w:val="24"/>
              </w:rPr>
              <w:t>28.3</w:t>
            </w:r>
            <w:r>
              <w:rPr>
                <w:bCs/>
                <w:sz w:val="24"/>
              </w:rPr>
              <w:t>℃</w:t>
            </w:r>
            <w:r>
              <w:rPr>
                <w:rFonts w:hint="eastAsia"/>
                <w:bCs/>
                <w:sz w:val="24"/>
              </w:rPr>
              <w:t>；环境湿度</w:t>
            </w:r>
            <w:r>
              <w:rPr>
                <w:bCs/>
                <w:sz w:val="24"/>
              </w:rPr>
              <w:t>：：</w:t>
            </w:r>
            <w:r>
              <w:rPr>
                <w:rFonts w:hint="eastAsia"/>
                <w:bCs/>
                <w:sz w:val="24"/>
              </w:rPr>
              <w:t>22</w:t>
            </w:r>
            <w:r>
              <w:rPr>
                <w:bCs/>
                <w:sz w:val="24"/>
              </w:rPr>
              <w:t>.</w:t>
            </w:r>
            <w:r>
              <w:rPr>
                <w:rFonts w:hint="eastAsia"/>
                <w:bCs/>
                <w:sz w:val="24"/>
              </w:rPr>
              <w:t>7</w:t>
            </w:r>
            <w:r>
              <w:rPr>
                <w:bCs/>
                <w:sz w:val="24"/>
              </w:rPr>
              <w:t>~</w:t>
            </w:r>
            <w:r>
              <w:rPr>
                <w:rFonts w:hint="eastAsia"/>
                <w:bCs/>
                <w:sz w:val="24"/>
              </w:rPr>
              <w:t>23</w:t>
            </w:r>
            <w:r>
              <w:rPr>
                <w:bCs/>
                <w:sz w:val="24"/>
              </w:rPr>
              <w:t>.1％</w:t>
            </w:r>
            <w:r>
              <w:rPr>
                <w:rFonts w:hint="eastAsia"/>
                <w:bCs/>
                <w:sz w:val="24"/>
              </w:rPr>
              <w:t>；天气状况：阴</w:t>
            </w:r>
            <w:r>
              <w:rPr>
                <w:rFonts w:hint="eastAsia"/>
                <w:sz w:val="24"/>
              </w:rPr>
              <w:t>。</w:t>
            </w:r>
          </w:p>
          <w:p>
            <w:pPr>
              <w:spacing w:line="360" w:lineRule="auto"/>
              <w:rPr>
                <w:b/>
                <w:bCs/>
                <w:sz w:val="24"/>
                <w:szCs w:val="24"/>
              </w:rPr>
            </w:pPr>
            <w:r>
              <w:rPr>
                <w:rFonts w:hint="eastAsia"/>
                <w:b/>
                <w:bCs/>
                <w:sz w:val="24"/>
                <w:szCs w:val="24"/>
              </w:rPr>
              <w:t>7.4监测仪器及工况</w:t>
            </w:r>
          </w:p>
          <w:p>
            <w:pPr>
              <w:numPr>
                <w:ilvl w:val="0"/>
                <w:numId w:val="6"/>
              </w:numPr>
              <w:spacing w:line="360" w:lineRule="auto"/>
              <w:rPr>
                <w:b/>
                <w:bCs/>
                <w:sz w:val="24"/>
                <w:szCs w:val="24"/>
              </w:rPr>
            </w:pPr>
            <w:r>
              <w:rPr>
                <w:rFonts w:hint="eastAsia"/>
                <w:b/>
                <w:bCs/>
                <w:sz w:val="24"/>
                <w:szCs w:val="24"/>
              </w:rPr>
              <w:t>监测仪器</w:t>
            </w:r>
          </w:p>
          <w:p>
            <w:pPr>
              <w:spacing w:line="360" w:lineRule="auto"/>
              <w:rPr>
                <w:sz w:val="24"/>
              </w:rPr>
            </w:pPr>
            <w:r>
              <w:rPr>
                <w:rFonts w:hint="eastAsia"/>
                <w:sz w:val="24"/>
              </w:rPr>
              <w:t xml:space="preserve">   监测选用主要设备见表7-1：</w:t>
            </w:r>
          </w:p>
          <w:p>
            <w:pPr>
              <w:spacing w:line="360" w:lineRule="auto"/>
              <w:ind w:firstLine="241" w:firstLineChars="100"/>
              <w:rPr>
                <w:b/>
                <w:sz w:val="24"/>
              </w:rPr>
            </w:pPr>
            <w:r>
              <w:rPr>
                <w:rFonts w:hint="eastAsia"/>
                <w:b/>
                <w:sz w:val="24"/>
              </w:rPr>
              <w:t>表7</w:t>
            </w:r>
            <w:r>
              <w:rPr>
                <w:b/>
                <w:sz w:val="24"/>
              </w:rPr>
              <w:t xml:space="preserve">-1 </w:t>
            </w:r>
            <w:r>
              <w:rPr>
                <w:rFonts w:hint="eastAsia"/>
                <w:b/>
                <w:sz w:val="24"/>
              </w:rPr>
              <w:t xml:space="preserve">                监测仪器一览表</w:t>
            </w:r>
          </w:p>
          <w:tbl>
            <w:tblPr>
              <w:tblStyle w:val="17"/>
              <w:tblW w:w="793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461"/>
              <w:gridCol w:w="1419"/>
              <w:gridCol w:w="1260"/>
              <w:gridCol w:w="1440"/>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4" w:type="dxa"/>
                  <w:tcBorders>
                    <w:top w:val="single" w:color="auto" w:sz="12" w:space="0"/>
                    <w:bottom w:val="single" w:color="auto" w:sz="12" w:space="0"/>
                  </w:tcBorders>
                  <w:vAlign w:val="center"/>
                </w:tcPr>
                <w:p>
                  <w:pPr>
                    <w:jc w:val="center"/>
                    <w:rPr>
                      <w:sz w:val="24"/>
                    </w:rPr>
                  </w:pPr>
                  <w:r>
                    <w:rPr>
                      <w:rFonts w:hint="eastAsia"/>
                      <w:sz w:val="18"/>
                      <w:szCs w:val="18"/>
                    </w:rPr>
                    <w:t>监测项目</w:t>
                  </w:r>
                </w:p>
              </w:tc>
              <w:tc>
                <w:tcPr>
                  <w:tcW w:w="1461" w:type="dxa"/>
                  <w:tcBorders>
                    <w:top w:val="single" w:color="auto" w:sz="12" w:space="0"/>
                    <w:bottom w:val="single" w:color="auto" w:sz="12" w:space="0"/>
                  </w:tcBorders>
                  <w:vAlign w:val="center"/>
                </w:tcPr>
                <w:p>
                  <w:pPr>
                    <w:jc w:val="center"/>
                    <w:rPr>
                      <w:sz w:val="24"/>
                    </w:rPr>
                  </w:pPr>
                  <w:r>
                    <w:rPr>
                      <w:sz w:val="18"/>
                      <w:szCs w:val="18"/>
                    </w:rPr>
                    <w:t>仪器名称</w:t>
                  </w:r>
                </w:p>
              </w:tc>
              <w:tc>
                <w:tcPr>
                  <w:tcW w:w="1419" w:type="dxa"/>
                  <w:tcBorders>
                    <w:top w:val="single" w:color="auto" w:sz="12" w:space="0"/>
                    <w:bottom w:val="single" w:color="auto" w:sz="12" w:space="0"/>
                  </w:tcBorders>
                  <w:vAlign w:val="center"/>
                </w:tcPr>
                <w:p>
                  <w:pPr>
                    <w:jc w:val="center"/>
                    <w:rPr>
                      <w:sz w:val="24"/>
                    </w:rPr>
                  </w:pPr>
                  <w:r>
                    <w:rPr>
                      <w:rFonts w:hint="eastAsia"/>
                      <w:sz w:val="18"/>
                      <w:szCs w:val="18"/>
                    </w:rPr>
                    <w:t>检出下限</w:t>
                  </w:r>
                </w:p>
              </w:tc>
              <w:tc>
                <w:tcPr>
                  <w:tcW w:w="1260" w:type="dxa"/>
                  <w:tcBorders>
                    <w:top w:val="single" w:color="auto" w:sz="12" w:space="0"/>
                    <w:bottom w:val="single" w:color="auto" w:sz="12" w:space="0"/>
                  </w:tcBorders>
                  <w:vAlign w:val="center"/>
                </w:tcPr>
                <w:p>
                  <w:pPr>
                    <w:jc w:val="center"/>
                    <w:rPr>
                      <w:sz w:val="24"/>
                    </w:rPr>
                  </w:pPr>
                  <w:r>
                    <w:rPr>
                      <w:rFonts w:hint="eastAsia"/>
                      <w:sz w:val="18"/>
                      <w:szCs w:val="18"/>
                    </w:rPr>
                    <w:t>校准</w:t>
                  </w:r>
                  <w:r>
                    <w:rPr>
                      <w:sz w:val="18"/>
                      <w:szCs w:val="18"/>
                    </w:rPr>
                    <w:t>有效期</w:t>
                  </w:r>
                </w:p>
              </w:tc>
              <w:tc>
                <w:tcPr>
                  <w:tcW w:w="1440" w:type="dxa"/>
                  <w:tcBorders>
                    <w:top w:val="single" w:color="auto" w:sz="12" w:space="0"/>
                    <w:bottom w:val="single" w:color="auto" w:sz="12" w:space="0"/>
                  </w:tcBorders>
                  <w:vAlign w:val="center"/>
                </w:tcPr>
                <w:p>
                  <w:pPr>
                    <w:jc w:val="center"/>
                    <w:rPr>
                      <w:sz w:val="24"/>
                    </w:rPr>
                  </w:pPr>
                  <w:r>
                    <w:rPr>
                      <w:rFonts w:hint="eastAsia"/>
                      <w:sz w:val="18"/>
                      <w:szCs w:val="18"/>
                    </w:rPr>
                    <w:t>校准</w:t>
                  </w:r>
                  <w:r>
                    <w:rPr>
                      <w:sz w:val="18"/>
                      <w:szCs w:val="18"/>
                    </w:rPr>
                    <w:t>证书号</w:t>
                  </w:r>
                </w:p>
              </w:tc>
              <w:tc>
                <w:tcPr>
                  <w:tcW w:w="1139" w:type="dxa"/>
                  <w:tcBorders>
                    <w:top w:val="single" w:color="auto" w:sz="12" w:space="0"/>
                    <w:bottom w:val="single" w:color="auto" w:sz="12" w:space="0"/>
                    <w:right w:val="single" w:color="auto" w:sz="4" w:space="0"/>
                  </w:tcBorders>
                  <w:vAlign w:val="center"/>
                </w:tcPr>
                <w:p>
                  <w:pPr>
                    <w:jc w:val="center"/>
                    <w:rPr>
                      <w:sz w:val="24"/>
                    </w:rPr>
                  </w:pPr>
                  <w:r>
                    <w:rPr>
                      <w:rFonts w:hint="eastAsia"/>
                      <w:sz w:val="18"/>
                      <w:szCs w:val="18"/>
                    </w:rPr>
                    <w:t>校准</w:t>
                  </w:r>
                  <w:r>
                    <w:rPr>
                      <w:sz w:val="18"/>
                      <w:szCs w:val="1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trPr>
              <w:tc>
                <w:tcPr>
                  <w:tcW w:w="1214" w:type="dxa"/>
                  <w:tcBorders>
                    <w:top w:val="single" w:color="auto" w:sz="12" w:space="0"/>
                  </w:tcBorders>
                  <w:vAlign w:val="center"/>
                </w:tcPr>
                <w:p>
                  <w:pPr>
                    <w:jc w:val="center"/>
                    <w:rPr>
                      <w:sz w:val="24"/>
                    </w:rPr>
                  </w:pPr>
                  <w:r>
                    <w:rPr>
                      <w:rFonts w:hint="eastAsia"/>
                      <w:bCs/>
                      <w:sz w:val="18"/>
                      <w:szCs w:val="18"/>
                    </w:rPr>
                    <w:t>工频电场强度</w:t>
                  </w:r>
                </w:p>
              </w:tc>
              <w:tc>
                <w:tcPr>
                  <w:tcW w:w="1461" w:type="dxa"/>
                  <w:vMerge w:val="restart"/>
                  <w:tcBorders>
                    <w:top w:val="single" w:color="auto" w:sz="12" w:space="0"/>
                  </w:tcBorders>
                  <w:vAlign w:val="center"/>
                </w:tcPr>
                <w:p>
                  <w:pPr>
                    <w:jc w:val="center"/>
                    <w:rPr>
                      <w:sz w:val="18"/>
                      <w:szCs w:val="18"/>
                    </w:rPr>
                  </w:pPr>
                  <w:r>
                    <w:rPr>
                      <w:rFonts w:hint="eastAsia"/>
                      <w:sz w:val="18"/>
                      <w:szCs w:val="18"/>
                    </w:rPr>
                    <w:t>NBM550/</w:t>
                  </w:r>
                </w:p>
                <w:p>
                  <w:pPr>
                    <w:jc w:val="center"/>
                    <w:rPr>
                      <w:sz w:val="18"/>
                      <w:szCs w:val="18"/>
                    </w:rPr>
                  </w:pPr>
                  <w:r>
                    <w:rPr>
                      <w:sz w:val="18"/>
                      <w:szCs w:val="18"/>
                    </w:rPr>
                    <w:t>EHP50</w:t>
                  </w:r>
                  <w:r>
                    <w:rPr>
                      <w:rFonts w:hint="eastAsia"/>
                      <w:sz w:val="18"/>
                      <w:szCs w:val="18"/>
                    </w:rPr>
                    <w:t>F</w:t>
                  </w:r>
                </w:p>
                <w:p>
                  <w:pPr>
                    <w:jc w:val="center"/>
                    <w:rPr>
                      <w:sz w:val="18"/>
                      <w:szCs w:val="18"/>
                    </w:rPr>
                  </w:pPr>
                  <w:r>
                    <w:rPr>
                      <w:rFonts w:hint="eastAsia"/>
                      <w:sz w:val="18"/>
                      <w:szCs w:val="18"/>
                    </w:rPr>
                    <w:t>(</w:t>
                  </w:r>
                  <w:r>
                    <w:rPr>
                      <w:sz w:val="18"/>
                      <w:szCs w:val="18"/>
                    </w:rPr>
                    <w:t>zysb</w:t>
                  </w:r>
                  <w:r>
                    <w:rPr>
                      <w:rFonts w:hint="eastAsia"/>
                      <w:sz w:val="18"/>
                      <w:szCs w:val="18"/>
                    </w:rPr>
                    <w:t>516</w:t>
                  </w:r>
                  <w:r>
                    <w:rPr>
                      <w:sz w:val="18"/>
                      <w:szCs w:val="18"/>
                    </w:rPr>
                    <w:t>-1</w:t>
                  </w:r>
                  <w:r>
                    <w:rPr>
                      <w:rFonts w:hint="eastAsia"/>
                      <w:sz w:val="18"/>
                      <w:szCs w:val="18"/>
                    </w:rPr>
                    <w:t>)</w:t>
                  </w:r>
                </w:p>
              </w:tc>
              <w:tc>
                <w:tcPr>
                  <w:tcW w:w="1419" w:type="dxa"/>
                  <w:tcBorders>
                    <w:top w:val="single" w:color="auto" w:sz="12" w:space="0"/>
                  </w:tcBorders>
                  <w:vAlign w:val="center"/>
                </w:tcPr>
                <w:p>
                  <w:pPr>
                    <w:jc w:val="center"/>
                    <w:rPr>
                      <w:sz w:val="18"/>
                      <w:szCs w:val="18"/>
                    </w:rPr>
                  </w:pPr>
                  <w:r>
                    <w:rPr>
                      <w:sz w:val="18"/>
                      <w:szCs w:val="18"/>
                    </w:rPr>
                    <w:t>电场</w:t>
                  </w:r>
                  <w:r>
                    <w:rPr>
                      <w:rFonts w:hint="eastAsia"/>
                      <w:sz w:val="18"/>
                      <w:szCs w:val="18"/>
                    </w:rPr>
                    <w:t>：1</w:t>
                  </w:r>
                  <w:r>
                    <w:rPr>
                      <w:sz w:val="18"/>
                      <w:szCs w:val="18"/>
                    </w:rPr>
                    <w:t>m V/m</w:t>
                  </w:r>
                </w:p>
              </w:tc>
              <w:tc>
                <w:tcPr>
                  <w:tcW w:w="1260" w:type="dxa"/>
                  <w:tcBorders>
                    <w:top w:val="single" w:color="auto" w:sz="12" w:space="0"/>
                  </w:tcBorders>
                  <w:vAlign w:val="center"/>
                </w:tcPr>
                <w:p>
                  <w:pPr>
                    <w:jc w:val="center"/>
                    <w:rPr>
                      <w:sz w:val="18"/>
                      <w:szCs w:val="18"/>
                    </w:rPr>
                  </w:pPr>
                  <w:r>
                    <w:rPr>
                      <w:sz w:val="18"/>
                      <w:szCs w:val="18"/>
                    </w:rPr>
                    <w:t>201</w:t>
                  </w:r>
                  <w:r>
                    <w:rPr>
                      <w:rFonts w:hint="eastAsia"/>
                      <w:sz w:val="18"/>
                      <w:szCs w:val="18"/>
                    </w:rPr>
                    <w:t>8</w:t>
                  </w:r>
                  <w:r>
                    <w:rPr>
                      <w:sz w:val="18"/>
                      <w:szCs w:val="18"/>
                    </w:rPr>
                    <w:t>.</w:t>
                  </w:r>
                  <w:r>
                    <w:rPr>
                      <w:rFonts w:hint="eastAsia"/>
                      <w:sz w:val="18"/>
                      <w:szCs w:val="18"/>
                    </w:rPr>
                    <w:t>3</w:t>
                  </w:r>
                  <w:r>
                    <w:rPr>
                      <w:sz w:val="18"/>
                      <w:szCs w:val="18"/>
                    </w:rPr>
                    <w:t>.</w:t>
                  </w:r>
                  <w:r>
                    <w:rPr>
                      <w:rFonts w:hint="eastAsia"/>
                      <w:sz w:val="18"/>
                      <w:szCs w:val="18"/>
                    </w:rPr>
                    <w:t>12</w:t>
                  </w:r>
                </w:p>
                <w:p>
                  <w:pPr>
                    <w:jc w:val="center"/>
                    <w:rPr>
                      <w:sz w:val="18"/>
                      <w:szCs w:val="18"/>
                    </w:rPr>
                  </w:pPr>
                  <w:r>
                    <w:rPr>
                      <w:rFonts w:hint="eastAsia"/>
                      <w:sz w:val="18"/>
                      <w:szCs w:val="18"/>
                    </w:rPr>
                    <w:t>至</w:t>
                  </w:r>
                </w:p>
                <w:p>
                  <w:pPr>
                    <w:jc w:val="center"/>
                    <w:rPr>
                      <w:sz w:val="18"/>
                      <w:szCs w:val="18"/>
                    </w:rPr>
                  </w:pPr>
                  <w:r>
                    <w:rPr>
                      <w:sz w:val="18"/>
                      <w:szCs w:val="18"/>
                    </w:rPr>
                    <w:t>201</w:t>
                  </w:r>
                  <w:r>
                    <w:rPr>
                      <w:rFonts w:hint="eastAsia"/>
                      <w:sz w:val="18"/>
                      <w:szCs w:val="18"/>
                    </w:rPr>
                    <w:t>9</w:t>
                  </w:r>
                  <w:r>
                    <w:rPr>
                      <w:sz w:val="18"/>
                      <w:szCs w:val="18"/>
                    </w:rPr>
                    <w:t>.</w:t>
                  </w:r>
                  <w:r>
                    <w:rPr>
                      <w:rFonts w:hint="eastAsia"/>
                      <w:sz w:val="18"/>
                      <w:szCs w:val="18"/>
                    </w:rPr>
                    <w:t>3</w:t>
                  </w:r>
                  <w:r>
                    <w:rPr>
                      <w:sz w:val="18"/>
                      <w:szCs w:val="18"/>
                    </w:rPr>
                    <w:t>.</w:t>
                  </w:r>
                  <w:r>
                    <w:rPr>
                      <w:rFonts w:hint="eastAsia"/>
                      <w:sz w:val="18"/>
                      <w:szCs w:val="18"/>
                    </w:rPr>
                    <w:t>11</w:t>
                  </w:r>
                </w:p>
              </w:tc>
              <w:tc>
                <w:tcPr>
                  <w:tcW w:w="1440" w:type="dxa"/>
                  <w:tcBorders>
                    <w:top w:val="single" w:color="auto" w:sz="12" w:space="0"/>
                  </w:tcBorders>
                  <w:vAlign w:val="center"/>
                </w:tcPr>
                <w:p>
                  <w:pPr>
                    <w:jc w:val="center"/>
                    <w:rPr>
                      <w:sz w:val="18"/>
                      <w:szCs w:val="18"/>
                    </w:rPr>
                  </w:pPr>
                  <w:r>
                    <w:rPr>
                      <w:rFonts w:hint="eastAsia"/>
                      <w:sz w:val="18"/>
                      <w:szCs w:val="18"/>
                    </w:rPr>
                    <w:t>校准字第201803004460</w:t>
                  </w:r>
                </w:p>
              </w:tc>
              <w:tc>
                <w:tcPr>
                  <w:tcW w:w="1139" w:type="dxa"/>
                  <w:vMerge w:val="restart"/>
                  <w:tcBorders>
                    <w:top w:val="single" w:color="auto" w:sz="12" w:space="0"/>
                  </w:tcBorders>
                  <w:vAlign w:val="center"/>
                </w:tcPr>
                <w:p>
                  <w:pPr>
                    <w:jc w:val="center"/>
                    <w:rPr>
                      <w:sz w:val="18"/>
                      <w:szCs w:val="18"/>
                    </w:rPr>
                  </w:pPr>
                  <w:r>
                    <w:rPr>
                      <w:rFonts w:hint="eastAsia"/>
                      <w:sz w:val="18"/>
                      <w:szCs w:val="18"/>
                    </w:rPr>
                    <w:t>中国测试技术研究院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trPr>
              <w:tc>
                <w:tcPr>
                  <w:tcW w:w="1214" w:type="dxa"/>
                  <w:tcBorders>
                    <w:top w:val="single" w:color="auto" w:sz="4" w:space="0"/>
                    <w:bottom w:val="single" w:color="auto" w:sz="12" w:space="0"/>
                  </w:tcBorders>
                  <w:vAlign w:val="center"/>
                </w:tcPr>
                <w:p>
                  <w:pPr>
                    <w:jc w:val="center"/>
                    <w:rPr>
                      <w:bCs/>
                      <w:sz w:val="18"/>
                      <w:szCs w:val="18"/>
                    </w:rPr>
                  </w:pPr>
                  <w:r>
                    <w:rPr>
                      <w:rFonts w:hint="eastAsia"/>
                      <w:bCs/>
                      <w:sz w:val="18"/>
                      <w:szCs w:val="18"/>
                    </w:rPr>
                    <w:t>工频磁场强度（或工频磁感应强度）</w:t>
                  </w:r>
                </w:p>
              </w:tc>
              <w:tc>
                <w:tcPr>
                  <w:tcW w:w="1461" w:type="dxa"/>
                  <w:vMerge w:val="continue"/>
                  <w:tcBorders>
                    <w:bottom w:val="single" w:color="auto" w:sz="12" w:space="0"/>
                  </w:tcBorders>
                  <w:vAlign w:val="center"/>
                </w:tcPr>
                <w:p>
                  <w:pPr>
                    <w:jc w:val="center"/>
                    <w:rPr>
                      <w:sz w:val="18"/>
                      <w:szCs w:val="18"/>
                    </w:rPr>
                  </w:pPr>
                </w:p>
              </w:tc>
              <w:tc>
                <w:tcPr>
                  <w:tcW w:w="1419" w:type="dxa"/>
                  <w:tcBorders>
                    <w:bottom w:val="single" w:color="auto" w:sz="12" w:space="0"/>
                  </w:tcBorders>
                  <w:vAlign w:val="center"/>
                </w:tcPr>
                <w:p>
                  <w:pPr>
                    <w:jc w:val="center"/>
                    <w:rPr>
                      <w:sz w:val="18"/>
                      <w:szCs w:val="18"/>
                    </w:rPr>
                  </w:pPr>
                  <w:r>
                    <w:rPr>
                      <w:sz w:val="18"/>
                      <w:szCs w:val="18"/>
                    </w:rPr>
                    <w:t>磁场：</w:t>
                  </w:r>
                  <w:r>
                    <w:rPr>
                      <w:rFonts w:hint="eastAsia"/>
                      <w:sz w:val="18"/>
                      <w:szCs w:val="18"/>
                    </w:rPr>
                    <w:t>0.1</w:t>
                  </w:r>
                  <w:r>
                    <w:rPr>
                      <w:sz w:val="18"/>
                      <w:szCs w:val="18"/>
                    </w:rPr>
                    <w:t>nT</w:t>
                  </w:r>
                </w:p>
              </w:tc>
              <w:tc>
                <w:tcPr>
                  <w:tcW w:w="1260" w:type="dxa"/>
                  <w:tcBorders>
                    <w:bottom w:val="single" w:color="auto" w:sz="12" w:space="0"/>
                  </w:tcBorders>
                  <w:vAlign w:val="center"/>
                </w:tcPr>
                <w:p>
                  <w:pPr>
                    <w:jc w:val="center"/>
                    <w:rPr>
                      <w:sz w:val="18"/>
                      <w:szCs w:val="18"/>
                    </w:rPr>
                  </w:pPr>
                  <w:r>
                    <w:rPr>
                      <w:sz w:val="18"/>
                      <w:szCs w:val="18"/>
                    </w:rPr>
                    <w:t>201</w:t>
                  </w:r>
                  <w:r>
                    <w:rPr>
                      <w:rFonts w:hint="eastAsia"/>
                      <w:sz w:val="18"/>
                      <w:szCs w:val="18"/>
                    </w:rPr>
                    <w:t>8</w:t>
                  </w:r>
                  <w:r>
                    <w:rPr>
                      <w:sz w:val="18"/>
                      <w:szCs w:val="18"/>
                    </w:rPr>
                    <w:t>.</w:t>
                  </w:r>
                  <w:r>
                    <w:rPr>
                      <w:rFonts w:hint="eastAsia"/>
                      <w:sz w:val="18"/>
                      <w:szCs w:val="18"/>
                    </w:rPr>
                    <w:t>3</w:t>
                  </w:r>
                  <w:r>
                    <w:rPr>
                      <w:sz w:val="18"/>
                      <w:szCs w:val="18"/>
                    </w:rPr>
                    <w:t>.1</w:t>
                  </w:r>
                  <w:r>
                    <w:rPr>
                      <w:rFonts w:hint="eastAsia"/>
                      <w:sz w:val="18"/>
                      <w:szCs w:val="18"/>
                    </w:rPr>
                    <w:t>5</w:t>
                  </w:r>
                </w:p>
                <w:p>
                  <w:pPr>
                    <w:jc w:val="center"/>
                    <w:rPr>
                      <w:sz w:val="18"/>
                      <w:szCs w:val="18"/>
                    </w:rPr>
                  </w:pPr>
                  <w:r>
                    <w:rPr>
                      <w:rFonts w:hint="eastAsia"/>
                      <w:sz w:val="18"/>
                      <w:szCs w:val="18"/>
                    </w:rPr>
                    <w:t>至</w:t>
                  </w:r>
                </w:p>
                <w:p>
                  <w:pPr>
                    <w:jc w:val="center"/>
                    <w:rPr>
                      <w:sz w:val="18"/>
                      <w:szCs w:val="18"/>
                    </w:rPr>
                  </w:pPr>
                  <w:r>
                    <w:rPr>
                      <w:sz w:val="18"/>
                      <w:szCs w:val="18"/>
                    </w:rPr>
                    <w:t>201</w:t>
                  </w:r>
                  <w:r>
                    <w:rPr>
                      <w:rFonts w:hint="eastAsia"/>
                      <w:sz w:val="18"/>
                      <w:szCs w:val="18"/>
                    </w:rPr>
                    <w:t>9</w:t>
                  </w:r>
                  <w:r>
                    <w:rPr>
                      <w:sz w:val="18"/>
                      <w:szCs w:val="18"/>
                    </w:rPr>
                    <w:t>.</w:t>
                  </w:r>
                  <w:r>
                    <w:rPr>
                      <w:rFonts w:hint="eastAsia"/>
                      <w:sz w:val="18"/>
                      <w:szCs w:val="18"/>
                    </w:rPr>
                    <w:t>3</w:t>
                  </w:r>
                  <w:r>
                    <w:rPr>
                      <w:sz w:val="18"/>
                      <w:szCs w:val="18"/>
                    </w:rPr>
                    <w:t>.1</w:t>
                  </w:r>
                  <w:r>
                    <w:rPr>
                      <w:rFonts w:hint="eastAsia"/>
                      <w:sz w:val="18"/>
                      <w:szCs w:val="18"/>
                    </w:rPr>
                    <w:t>4</w:t>
                  </w:r>
                </w:p>
              </w:tc>
              <w:tc>
                <w:tcPr>
                  <w:tcW w:w="1440" w:type="dxa"/>
                  <w:tcBorders>
                    <w:bottom w:val="single" w:color="auto" w:sz="12" w:space="0"/>
                  </w:tcBorders>
                  <w:vAlign w:val="center"/>
                </w:tcPr>
                <w:p>
                  <w:pPr>
                    <w:jc w:val="center"/>
                    <w:rPr>
                      <w:sz w:val="18"/>
                      <w:szCs w:val="18"/>
                    </w:rPr>
                  </w:pPr>
                  <w:r>
                    <w:rPr>
                      <w:rFonts w:hint="eastAsia"/>
                      <w:sz w:val="18"/>
                      <w:szCs w:val="18"/>
                    </w:rPr>
                    <w:t>校准字第201803005697</w:t>
                  </w:r>
                </w:p>
              </w:tc>
              <w:tc>
                <w:tcPr>
                  <w:tcW w:w="1139" w:type="dxa"/>
                  <w:vMerge w:val="continue"/>
                  <w:tcBorders>
                    <w:bottom w:val="single" w:color="auto" w:sz="12" w:space="0"/>
                  </w:tcBorders>
                  <w:vAlign w:val="center"/>
                </w:tcPr>
                <w:p>
                  <w:pPr>
                    <w:jc w:val="center"/>
                    <w:rPr>
                      <w:sz w:val="18"/>
                      <w:szCs w:val="18"/>
                    </w:rPr>
                  </w:pPr>
                </w:p>
              </w:tc>
            </w:tr>
          </w:tbl>
          <w:p>
            <w:pPr>
              <w:spacing w:line="360" w:lineRule="auto"/>
              <w:rPr>
                <w:b/>
                <w:bCs/>
                <w:sz w:val="24"/>
              </w:rPr>
            </w:pPr>
            <w:r>
              <w:rPr>
                <w:rFonts w:hint="eastAsia"/>
                <w:sz w:val="24"/>
              </w:rPr>
              <w:t xml:space="preserve">2、 </w:t>
            </w:r>
            <w:r>
              <w:rPr>
                <w:rFonts w:hint="eastAsia"/>
                <w:b/>
                <w:bCs/>
                <w:sz w:val="24"/>
              </w:rPr>
              <w:t>工程运行工况</w:t>
            </w:r>
          </w:p>
          <w:p>
            <w:pPr>
              <w:spacing w:line="360" w:lineRule="auto"/>
              <w:ind w:firstLine="480" w:firstLineChars="200"/>
              <w:rPr>
                <w:sz w:val="24"/>
              </w:rPr>
            </w:pPr>
            <w:r>
              <w:rPr>
                <w:rFonts w:hint="eastAsia"/>
                <w:sz w:val="24"/>
              </w:rPr>
              <w:t>输变电项目在设计和运行上有别于一般建设项目。首先，变电站一般按照当地未来数年的用电负荷进行设计、建造，在变电站投入运行的初期，电压可以到达额定电压，但用电负荷（与电流相关）一般较小，一般不会出现满负荷运行状态。鉴于这种情况，输变电项目竣工环境保护验收在其工况要求上必须采取实事求是、科学务实的办法。由于输变电项目工频电场由电压决定，其验收负荷工况可按照国家相关规定执行。而工频磁场由电流决定，而电流受用电负荷影响短期不能到达额定电流值，但工频磁场与电流基本呈正比关系，因此，可以通过对现状电流下的工频磁场进行监测，再根据现状电流占额定电流的百分比进行修正，可以得到满负荷状态下工频磁场影响。</w:t>
            </w:r>
          </w:p>
        </w:tc>
      </w:tr>
    </w:tbl>
    <w:p>
      <w:pPr>
        <w:spacing w:line="400" w:lineRule="exact"/>
        <w:jc w:val="center"/>
        <w:rPr>
          <w:rFonts w:ascii="宋体" w:hAnsi="宋体" w:cs="宋体"/>
          <w:b/>
          <w:sz w:val="24"/>
          <w:szCs w:val="24"/>
        </w:rPr>
      </w:pPr>
      <w:r>
        <w:rPr>
          <w:rFonts w:hint="eastAsia" w:ascii="宋体" w:hAnsi="宋体" w:cs="宋体"/>
          <w:b/>
          <w:sz w:val="24"/>
          <w:szCs w:val="24"/>
        </w:rPr>
        <w:br w:type="page"/>
      </w:r>
    </w:p>
    <w:tbl>
      <w:tblPr>
        <w:tblStyle w:val="17"/>
        <w:tblW w:w="910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664" w:hRule="atLeast"/>
        </w:trPr>
        <w:tc>
          <w:tcPr>
            <w:tcW w:w="644" w:type="dxa"/>
            <w:tcBorders>
              <w:top w:val="single" w:color="auto" w:sz="12" w:space="0"/>
              <w:left w:val="single" w:color="auto" w:sz="12" w:space="0"/>
              <w:bottom w:val="single" w:color="auto" w:sz="12" w:space="0"/>
              <w:right w:val="single" w:color="auto" w:sz="12" w:space="0"/>
            </w:tcBorders>
            <w:vAlign w:val="center"/>
          </w:tcPr>
          <w:p>
            <w:pPr>
              <w:spacing w:line="400" w:lineRule="exact"/>
              <w:jc w:val="center"/>
              <w:rPr>
                <w:rFonts w:ascii="宋体" w:hAnsi="宋体" w:cs="宋体"/>
                <w:b/>
                <w:sz w:val="24"/>
                <w:szCs w:val="24"/>
              </w:rPr>
            </w:pPr>
            <w:r>
              <w:rPr>
                <w:rFonts w:hint="eastAsia" w:ascii="宋体" w:hAnsi="宋体" w:cs="宋体"/>
                <w:b/>
                <w:sz w:val="24"/>
                <w:szCs w:val="24"/>
              </w:rPr>
              <w:t>电</w:t>
            </w:r>
          </w:p>
          <w:p>
            <w:pPr>
              <w:spacing w:line="400" w:lineRule="exact"/>
              <w:jc w:val="center"/>
              <w:rPr>
                <w:rFonts w:ascii="宋体" w:hAnsi="宋体" w:cs="宋体"/>
                <w:b/>
                <w:sz w:val="24"/>
                <w:szCs w:val="24"/>
              </w:rPr>
            </w:pPr>
            <w:r>
              <w:rPr>
                <w:rFonts w:hint="eastAsia" w:ascii="宋体" w:hAnsi="宋体" w:cs="宋体"/>
                <w:b/>
                <w:sz w:val="24"/>
                <w:szCs w:val="24"/>
              </w:rPr>
              <w:t>磁</w:t>
            </w:r>
          </w:p>
          <w:p>
            <w:pPr>
              <w:spacing w:line="400" w:lineRule="exact"/>
              <w:jc w:val="center"/>
              <w:rPr>
                <w:rFonts w:ascii="宋体" w:hAnsi="宋体" w:cs="宋体"/>
                <w:b/>
                <w:sz w:val="24"/>
                <w:szCs w:val="24"/>
              </w:rPr>
            </w:pPr>
            <w:r>
              <w:rPr>
                <w:rFonts w:hint="eastAsia" w:ascii="宋体" w:hAnsi="宋体" w:cs="宋体"/>
                <w:b/>
                <w:sz w:val="24"/>
                <w:szCs w:val="24"/>
              </w:rPr>
              <w:t>环</w:t>
            </w:r>
          </w:p>
          <w:p>
            <w:pPr>
              <w:spacing w:line="400" w:lineRule="exact"/>
              <w:jc w:val="center"/>
              <w:rPr>
                <w:rFonts w:ascii="宋体" w:hAnsi="宋体" w:cs="宋体"/>
                <w:b/>
                <w:sz w:val="24"/>
                <w:szCs w:val="24"/>
              </w:rPr>
            </w:pPr>
            <w:r>
              <w:rPr>
                <w:rFonts w:hint="eastAsia" w:ascii="宋体" w:hAnsi="宋体" w:cs="宋体"/>
                <w:b/>
                <w:sz w:val="24"/>
                <w:szCs w:val="24"/>
              </w:rPr>
              <w:t>境</w:t>
            </w:r>
          </w:p>
          <w:p>
            <w:pPr>
              <w:spacing w:line="400" w:lineRule="exact"/>
              <w:jc w:val="center"/>
              <w:rPr>
                <w:rFonts w:ascii="宋体" w:hAnsi="宋体" w:cs="宋体"/>
                <w:b/>
                <w:sz w:val="24"/>
                <w:szCs w:val="24"/>
              </w:rPr>
            </w:pPr>
            <w:r>
              <w:rPr>
                <w:rFonts w:hint="eastAsia" w:ascii="宋体" w:hAnsi="宋体" w:cs="宋体"/>
                <w:b/>
                <w:sz w:val="24"/>
                <w:szCs w:val="24"/>
              </w:rPr>
              <w:t>监</w:t>
            </w:r>
          </w:p>
          <w:p>
            <w:pPr>
              <w:spacing w:line="400" w:lineRule="exact"/>
              <w:jc w:val="center"/>
              <w:rPr>
                <w:rFonts w:ascii="宋体" w:hAnsi="宋体" w:cs="宋体"/>
                <w:b/>
                <w:sz w:val="24"/>
                <w:szCs w:val="24"/>
              </w:rPr>
            </w:pPr>
            <w:r>
              <w:rPr>
                <w:rFonts w:hint="eastAsia" w:ascii="宋体" w:hAnsi="宋体" w:cs="宋体"/>
                <w:b/>
                <w:sz w:val="24"/>
                <w:szCs w:val="24"/>
              </w:rPr>
              <w:t>测</w:t>
            </w:r>
          </w:p>
          <w:p>
            <w:pPr>
              <w:spacing w:line="400" w:lineRule="exact"/>
              <w:jc w:val="center"/>
              <w:rPr>
                <w:rFonts w:ascii="宋体" w:hAnsi="宋体" w:cs="宋体"/>
                <w:b/>
                <w:sz w:val="24"/>
                <w:szCs w:val="24"/>
              </w:rPr>
            </w:pPr>
          </w:p>
          <w:p>
            <w:pPr>
              <w:spacing w:line="400" w:lineRule="exact"/>
              <w:jc w:val="center"/>
              <w:rPr>
                <w:rFonts w:ascii="宋体" w:hAnsi="宋体" w:cs="宋体"/>
                <w:b/>
                <w:sz w:val="24"/>
                <w:szCs w:val="24"/>
              </w:rPr>
            </w:pPr>
          </w:p>
        </w:tc>
        <w:tc>
          <w:tcPr>
            <w:tcW w:w="8460" w:type="dxa"/>
            <w:tcBorders>
              <w:top w:val="single" w:color="auto" w:sz="12" w:space="0"/>
              <w:left w:val="single" w:color="auto" w:sz="12" w:space="0"/>
              <w:bottom w:val="single" w:color="auto" w:sz="12" w:space="0"/>
              <w:right w:val="single" w:color="auto" w:sz="12" w:space="0"/>
            </w:tcBorders>
          </w:tcPr>
          <w:p>
            <w:pPr>
              <w:spacing w:line="360" w:lineRule="auto"/>
              <w:ind w:firstLine="480" w:firstLineChars="200"/>
              <w:rPr>
                <w:sz w:val="24"/>
              </w:rPr>
            </w:pPr>
            <w:r>
              <w:rPr>
                <w:rFonts w:hint="eastAsia"/>
                <w:sz w:val="24"/>
              </w:rPr>
              <w:t>验收在测得变电站的工频磁感应强度现状值后，均根据现状电流占额定电流的百分比进行修正并得到满负荷状态下工频磁感应强度值。工程验收监测运行工况见表7</w:t>
            </w:r>
            <w:r>
              <w:rPr>
                <w:sz w:val="24"/>
              </w:rPr>
              <w:t>-2</w:t>
            </w:r>
            <w:r>
              <w:rPr>
                <w:rFonts w:hint="eastAsia"/>
                <w:sz w:val="24"/>
              </w:rPr>
              <w:t>。</w:t>
            </w:r>
          </w:p>
          <w:p>
            <w:pPr>
              <w:spacing w:line="360" w:lineRule="auto"/>
              <w:rPr>
                <w:sz w:val="24"/>
              </w:rPr>
            </w:pPr>
            <w:r>
              <w:rPr>
                <w:rFonts w:hint="eastAsia"/>
                <w:b/>
                <w:sz w:val="24"/>
              </w:rPr>
              <w:t>表7</w:t>
            </w:r>
            <w:r>
              <w:rPr>
                <w:b/>
                <w:sz w:val="24"/>
              </w:rPr>
              <w:t>-2</w:t>
            </w:r>
            <w:r>
              <w:rPr>
                <w:rFonts w:hint="eastAsia" w:ascii="宋体" w:hAnsi="宋体" w:cs="宋体"/>
                <w:b/>
                <w:sz w:val="24"/>
                <w:szCs w:val="24"/>
              </w:rPr>
              <w:t>“</w:t>
            </w:r>
            <w:r>
              <w:rPr>
                <w:rFonts w:hint="eastAsia"/>
                <w:b/>
                <w:sz w:val="24"/>
                <w:szCs w:val="24"/>
              </w:rPr>
              <w:t>龙安35</w:t>
            </w:r>
            <w:r>
              <w:rPr>
                <w:rFonts w:hint="eastAsia"/>
                <w:b/>
                <w:bCs/>
                <w:sz w:val="24"/>
                <w:szCs w:val="24"/>
              </w:rPr>
              <w:t>kV</w:t>
            </w:r>
            <w:r>
              <w:rPr>
                <w:rFonts w:hint="eastAsia"/>
                <w:b/>
                <w:sz w:val="24"/>
                <w:szCs w:val="24"/>
              </w:rPr>
              <w:t>变电站灾后恢复重建改造工程</w:t>
            </w:r>
            <w:r>
              <w:rPr>
                <w:rFonts w:ascii="宋体" w:hAnsi="宋体" w:cs="宋体"/>
                <w:b/>
                <w:sz w:val="24"/>
                <w:szCs w:val="24"/>
              </w:rPr>
              <w:t>”</w:t>
            </w:r>
            <w:r>
              <w:rPr>
                <w:rFonts w:hint="eastAsia"/>
                <w:b/>
                <w:sz w:val="24"/>
                <w:szCs w:val="24"/>
              </w:rPr>
              <w:t>项目</w:t>
            </w:r>
            <w:r>
              <w:rPr>
                <w:rFonts w:hint="eastAsia"/>
                <w:b/>
                <w:sz w:val="24"/>
              </w:rPr>
              <w:t>验收监测运行工况表</w:t>
            </w:r>
          </w:p>
          <w:tbl>
            <w:tblPr>
              <w:tblStyle w:val="17"/>
              <w:tblpPr w:leftFromText="180" w:rightFromText="180" w:vertAnchor="text" w:horzAnchor="page" w:tblpX="70" w:tblpY="144"/>
              <w:tblOverlap w:val="never"/>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479"/>
              <w:gridCol w:w="1923"/>
              <w:gridCol w:w="1843"/>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tcBorders>
                    <w:top w:val="single" w:color="auto" w:sz="12" w:space="0"/>
                    <w:bottom w:val="single" w:color="auto" w:sz="12" w:space="0"/>
                  </w:tcBorders>
                  <w:vAlign w:val="center"/>
                </w:tcPr>
                <w:p>
                  <w:pPr>
                    <w:widowControl/>
                    <w:jc w:val="center"/>
                    <w:rPr>
                      <w:sz w:val="24"/>
                      <w:szCs w:val="24"/>
                    </w:rPr>
                  </w:pPr>
                  <w:r>
                    <w:rPr>
                      <w:rFonts w:hint="eastAsia"/>
                      <w:b/>
                      <w:sz w:val="20"/>
                      <w:szCs w:val="20"/>
                    </w:rPr>
                    <w:t>工程名称</w:t>
                  </w:r>
                </w:p>
              </w:tc>
              <w:tc>
                <w:tcPr>
                  <w:tcW w:w="6946" w:type="dxa"/>
                  <w:gridSpan w:val="4"/>
                  <w:tcBorders>
                    <w:top w:val="single" w:color="auto" w:sz="12" w:space="0"/>
                    <w:bottom w:val="single" w:color="auto" w:sz="12" w:space="0"/>
                    <w:right w:val="single" w:color="auto" w:sz="8" w:space="0"/>
                  </w:tcBorders>
                  <w:vAlign w:val="center"/>
                </w:tcPr>
                <w:p>
                  <w:pPr>
                    <w:widowControl/>
                    <w:jc w:val="center"/>
                    <w:rPr>
                      <w:sz w:val="24"/>
                      <w:szCs w:val="24"/>
                    </w:rPr>
                  </w:pPr>
                  <w:r>
                    <w:rPr>
                      <w:rFonts w:hint="eastAsia"/>
                      <w:b/>
                      <w:sz w:val="20"/>
                      <w:szCs w:val="20"/>
                    </w:rPr>
                    <w:t>项目主变压器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restart"/>
                  <w:tcBorders>
                    <w:top w:val="single" w:color="auto" w:sz="12" w:space="0"/>
                    <w:bottom w:val="single" w:color="auto" w:sz="4" w:space="0"/>
                    <w:right w:val="single" w:color="auto" w:sz="4" w:space="0"/>
                  </w:tcBorders>
                  <w:vAlign w:val="center"/>
                </w:tcPr>
                <w:p>
                  <w:pPr>
                    <w:widowControl/>
                    <w:jc w:val="center"/>
                    <w:rPr>
                      <w:szCs w:val="21"/>
                    </w:rPr>
                  </w:pPr>
                  <w:r>
                    <w:rPr>
                      <w:rFonts w:hint="eastAsia"/>
                      <w:szCs w:val="21"/>
                    </w:rPr>
                    <w:t>龙安35</w:t>
                  </w:r>
                  <w:r>
                    <w:rPr>
                      <w:rFonts w:hint="eastAsia"/>
                      <w:bCs/>
                      <w:szCs w:val="21"/>
                    </w:rPr>
                    <w:t xml:space="preserve"> kV</w:t>
                  </w:r>
                  <w:r>
                    <w:rPr>
                      <w:rFonts w:hint="eastAsia"/>
                      <w:szCs w:val="21"/>
                    </w:rPr>
                    <w:t>变电站灾后恢复重建改造工程</w:t>
                  </w:r>
                </w:p>
              </w:tc>
              <w:tc>
                <w:tcPr>
                  <w:tcW w:w="3402" w:type="dxa"/>
                  <w:gridSpan w:val="2"/>
                  <w:tcBorders>
                    <w:top w:val="single" w:color="auto" w:sz="12" w:space="0"/>
                    <w:left w:val="single" w:color="auto" w:sz="4" w:space="0"/>
                    <w:bottom w:val="single" w:color="auto" w:sz="4" w:space="0"/>
                    <w:right w:val="single" w:color="auto" w:sz="4" w:space="0"/>
                  </w:tcBorders>
                  <w:vAlign w:val="center"/>
                </w:tcPr>
                <w:p>
                  <w:pPr>
                    <w:widowControl/>
                    <w:jc w:val="center"/>
                    <w:rPr>
                      <w:bCs/>
                      <w:sz w:val="20"/>
                      <w:szCs w:val="20"/>
                    </w:rPr>
                  </w:pPr>
                  <w:r>
                    <w:rPr>
                      <w:rFonts w:hint="eastAsia"/>
                      <w:bCs/>
                      <w:sz w:val="20"/>
                      <w:szCs w:val="20"/>
                    </w:rPr>
                    <w:t>电压等级110kV</w:t>
                  </w:r>
                </w:p>
              </w:tc>
              <w:tc>
                <w:tcPr>
                  <w:tcW w:w="3544" w:type="dxa"/>
                  <w:gridSpan w:val="2"/>
                  <w:tcBorders>
                    <w:top w:val="single" w:color="auto" w:sz="12" w:space="0"/>
                    <w:left w:val="single" w:color="auto" w:sz="4" w:space="0"/>
                    <w:bottom w:val="single" w:color="auto" w:sz="4" w:space="0"/>
                    <w:right w:val="single" w:color="auto" w:sz="4" w:space="0"/>
                  </w:tcBorders>
                  <w:vAlign w:val="center"/>
                </w:tcPr>
                <w:p>
                  <w:pPr>
                    <w:widowControl/>
                    <w:spacing w:line="0" w:lineRule="atLeast"/>
                    <w:jc w:val="center"/>
                    <w:rPr>
                      <w:bCs/>
                      <w:sz w:val="20"/>
                      <w:szCs w:val="20"/>
                    </w:rPr>
                  </w:pPr>
                  <w:r>
                    <w:rPr>
                      <w:rFonts w:hint="eastAsia"/>
                      <w:bCs/>
                      <w:sz w:val="20"/>
                      <w:szCs w:val="20"/>
                    </w:rPr>
                    <w:t>运行电压119 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7" w:hRule="atLeast"/>
              </w:trPr>
              <w:tc>
                <w:tcPr>
                  <w:tcW w:w="1271" w:type="dxa"/>
                  <w:vMerge w:val="continue"/>
                  <w:tcBorders>
                    <w:top w:val="single" w:color="auto" w:sz="4" w:space="0"/>
                    <w:bottom w:val="single" w:color="auto" w:sz="4" w:space="0"/>
                    <w:right w:val="single" w:color="auto" w:sz="4" w:space="0"/>
                  </w:tcBorders>
                  <w:vAlign w:val="center"/>
                </w:tcPr>
                <w:p>
                  <w:pPr>
                    <w:widowControl/>
                    <w:jc w:val="center"/>
                    <w:rPr>
                      <w:b/>
                      <w:sz w:val="20"/>
                      <w:szCs w:val="20"/>
                    </w:rPr>
                  </w:pPr>
                </w:p>
              </w:tc>
              <w:tc>
                <w:tcPr>
                  <w:tcW w:w="1479" w:type="dxa"/>
                  <w:vMerge w:val="restart"/>
                  <w:tcBorders>
                    <w:top w:val="single" w:color="auto" w:sz="4" w:space="0"/>
                    <w:left w:val="single" w:color="auto" w:sz="4" w:space="0"/>
                    <w:right w:val="single" w:color="auto" w:sz="4" w:space="0"/>
                  </w:tcBorders>
                  <w:vAlign w:val="center"/>
                </w:tcPr>
                <w:p>
                  <w:pPr>
                    <w:widowControl/>
                    <w:spacing w:line="0" w:lineRule="atLeast"/>
                    <w:jc w:val="center"/>
                    <w:rPr>
                      <w:bCs/>
                      <w:szCs w:val="21"/>
                    </w:rPr>
                  </w:pPr>
                  <w:r>
                    <w:rPr>
                      <w:rFonts w:hint="eastAsia"/>
                      <w:bCs/>
                      <w:szCs w:val="21"/>
                    </w:rPr>
                    <w:t>主变压器</w:t>
                  </w:r>
                </w:p>
              </w:tc>
              <w:tc>
                <w:tcPr>
                  <w:tcW w:w="1923"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bCs/>
                      <w:sz w:val="20"/>
                      <w:szCs w:val="20"/>
                    </w:rPr>
                  </w:pPr>
                  <w:r>
                    <w:rPr>
                      <w:rFonts w:hint="eastAsia"/>
                      <w:bCs/>
                      <w:sz w:val="20"/>
                      <w:szCs w:val="20"/>
                    </w:rPr>
                    <w:t>运行功率(MW)</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bCs/>
                      <w:sz w:val="20"/>
                      <w:szCs w:val="20"/>
                    </w:rPr>
                  </w:pPr>
                  <w:r>
                    <w:rPr>
                      <w:rFonts w:hint="eastAsia"/>
                      <w:bCs/>
                      <w:sz w:val="20"/>
                      <w:szCs w:val="20"/>
                    </w:rPr>
                    <w:t>额定</w:t>
                  </w:r>
                </w:p>
                <w:p>
                  <w:pPr>
                    <w:widowControl/>
                    <w:spacing w:line="0" w:lineRule="atLeast"/>
                    <w:jc w:val="center"/>
                    <w:rPr>
                      <w:bCs/>
                      <w:sz w:val="20"/>
                      <w:szCs w:val="20"/>
                    </w:rPr>
                  </w:pPr>
                  <w:r>
                    <w:rPr>
                      <w:rFonts w:hint="eastAsia"/>
                      <w:bCs/>
                      <w:sz w:val="20"/>
                      <w:szCs w:val="20"/>
                    </w:rPr>
                    <w:t>功率(MW)</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bCs/>
                      <w:sz w:val="20"/>
                      <w:szCs w:val="20"/>
                    </w:rPr>
                  </w:pPr>
                  <w:r>
                    <w:rPr>
                      <w:rFonts w:hint="eastAsia"/>
                      <w:bCs/>
                      <w:sz w:val="20"/>
                      <w:szCs w:val="20"/>
                    </w:rPr>
                    <w:t>负荷比</w:t>
                  </w:r>
                </w:p>
                <w:p>
                  <w:pPr>
                    <w:widowControl/>
                    <w:spacing w:line="0" w:lineRule="atLeast"/>
                    <w:jc w:val="center"/>
                    <w:rPr>
                      <w:bCs/>
                      <w:sz w:val="20"/>
                      <w:szCs w:val="20"/>
                    </w:rPr>
                  </w:pPr>
                  <w:r>
                    <w:rPr>
                      <w:rFonts w:hint="eastAsia"/>
                      <w:bCs/>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4" w:hRule="atLeast"/>
              </w:trPr>
              <w:tc>
                <w:tcPr>
                  <w:tcW w:w="1271" w:type="dxa"/>
                  <w:vMerge w:val="continue"/>
                  <w:tcBorders>
                    <w:top w:val="single" w:color="auto" w:sz="4" w:space="0"/>
                    <w:bottom w:val="single" w:color="auto" w:sz="12" w:space="0"/>
                    <w:right w:val="single" w:color="auto" w:sz="4" w:space="0"/>
                  </w:tcBorders>
                  <w:vAlign w:val="center"/>
                </w:tcPr>
                <w:p>
                  <w:pPr>
                    <w:widowControl/>
                    <w:jc w:val="center"/>
                    <w:rPr>
                      <w:b/>
                      <w:sz w:val="20"/>
                      <w:szCs w:val="20"/>
                    </w:rPr>
                  </w:pPr>
                </w:p>
              </w:tc>
              <w:tc>
                <w:tcPr>
                  <w:tcW w:w="1479" w:type="dxa"/>
                  <w:vMerge w:val="continue"/>
                  <w:tcBorders>
                    <w:left w:val="single" w:color="auto" w:sz="4" w:space="0"/>
                    <w:bottom w:val="single" w:color="auto" w:sz="12" w:space="0"/>
                    <w:right w:val="single" w:color="auto" w:sz="4" w:space="0"/>
                  </w:tcBorders>
                  <w:vAlign w:val="center"/>
                </w:tcPr>
                <w:p>
                  <w:pPr>
                    <w:widowControl/>
                    <w:spacing w:line="0" w:lineRule="atLeast"/>
                    <w:jc w:val="center"/>
                    <w:rPr>
                      <w:bCs/>
                      <w:sz w:val="20"/>
                      <w:szCs w:val="20"/>
                    </w:rPr>
                  </w:pPr>
                </w:p>
              </w:tc>
              <w:tc>
                <w:tcPr>
                  <w:tcW w:w="1923" w:type="dxa"/>
                  <w:tcBorders>
                    <w:top w:val="single" w:color="auto" w:sz="4" w:space="0"/>
                    <w:left w:val="single" w:color="auto" w:sz="4" w:space="0"/>
                    <w:bottom w:val="single" w:color="auto" w:sz="12" w:space="0"/>
                    <w:right w:val="single" w:color="auto" w:sz="4" w:space="0"/>
                  </w:tcBorders>
                  <w:vAlign w:val="center"/>
                </w:tcPr>
                <w:p>
                  <w:pPr>
                    <w:widowControl/>
                    <w:jc w:val="center"/>
                    <w:rPr>
                      <w:bCs/>
                      <w:sz w:val="20"/>
                      <w:szCs w:val="20"/>
                    </w:rPr>
                  </w:pPr>
                  <w:r>
                    <w:rPr>
                      <w:rFonts w:hint="eastAsia"/>
                      <w:bCs/>
                      <w:szCs w:val="21"/>
                    </w:rPr>
                    <w:t>27</w:t>
                  </w:r>
                </w:p>
              </w:tc>
              <w:tc>
                <w:tcPr>
                  <w:tcW w:w="1843" w:type="dxa"/>
                  <w:tcBorders>
                    <w:top w:val="single" w:color="auto" w:sz="4" w:space="0"/>
                    <w:left w:val="single" w:color="auto" w:sz="4" w:space="0"/>
                    <w:bottom w:val="single" w:color="auto" w:sz="12" w:space="0"/>
                    <w:right w:val="single" w:color="auto" w:sz="4" w:space="0"/>
                  </w:tcBorders>
                  <w:vAlign w:val="center"/>
                </w:tcPr>
                <w:p>
                  <w:pPr>
                    <w:widowControl/>
                    <w:jc w:val="center"/>
                    <w:rPr>
                      <w:bCs/>
                      <w:sz w:val="20"/>
                      <w:szCs w:val="20"/>
                    </w:rPr>
                  </w:pPr>
                  <w:r>
                    <w:rPr>
                      <w:rFonts w:hint="eastAsia"/>
                      <w:bCs/>
                      <w:szCs w:val="21"/>
                    </w:rPr>
                    <w:t>50</w:t>
                  </w:r>
                </w:p>
              </w:tc>
              <w:tc>
                <w:tcPr>
                  <w:tcW w:w="1701" w:type="dxa"/>
                  <w:tcBorders>
                    <w:top w:val="single" w:color="auto" w:sz="4" w:space="0"/>
                    <w:left w:val="single" w:color="auto" w:sz="4" w:space="0"/>
                    <w:bottom w:val="single" w:color="auto" w:sz="12" w:space="0"/>
                    <w:right w:val="single" w:color="auto" w:sz="4" w:space="0"/>
                  </w:tcBorders>
                  <w:vAlign w:val="center"/>
                </w:tcPr>
                <w:p>
                  <w:pPr>
                    <w:widowControl/>
                    <w:jc w:val="center"/>
                    <w:rPr>
                      <w:bCs/>
                      <w:sz w:val="20"/>
                      <w:szCs w:val="20"/>
                    </w:rPr>
                  </w:pPr>
                  <w:r>
                    <w:rPr>
                      <w:rFonts w:hint="eastAsia"/>
                      <w:bCs/>
                      <w:szCs w:val="21"/>
                    </w:rPr>
                    <w:t>54</w:t>
                  </w:r>
                </w:p>
              </w:tc>
            </w:tr>
          </w:tbl>
          <w:p>
            <w:pPr>
              <w:rPr>
                <w:sz w:val="20"/>
                <w:szCs w:val="20"/>
              </w:rPr>
            </w:pPr>
            <w:r>
              <w:rPr>
                <w:rFonts w:hint="eastAsia"/>
                <w:sz w:val="20"/>
                <w:szCs w:val="20"/>
              </w:rPr>
              <w:t>注：工况采集时间为2018年5月23日；龙安35</w:t>
            </w:r>
            <w:r>
              <w:rPr>
                <w:rFonts w:hint="eastAsia"/>
                <w:bCs/>
                <w:sz w:val="20"/>
                <w:szCs w:val="20"/>
              </w:rPr>
              <w:t xml:space="preserve"> kV</w:t>
            </w:r>
            <w:r>
              <w:rPr>
                <w:rFonts w:hint="eastAsia"/>
                <w:sz w:val="20"/>
                <w:szCs w:val="20"/>
              </w:rPr>
              <w:t>变电站灾后恢复重建改造工程运行名为（龙安110kV变电站）。</w:t>
            </w:r>
          </w:p>
          <w:p>
            <w:pPr>
              <w:spacing w:line="360" w:lineRule="auto"/>
              <w:rPr>
                <w:b/>
                <w:bCs/>
                <w:sz w:val="24"/>
                <w:szCs w:val="24"/>
              </w:rPr>
            </w:pPr>
            <w:r>
              <w:rPr>
                <w:rFonts w:hint="eastAsia"/>
                <w:b/>
                <w:bCs/>
                <w:sz w:val="24"/>
                <w:szCs w:val="24"/>
              </w:rPr>
              <w:t>7.5监测结果分析</w:t>
            </w:r>
          </w:p>
          <w:p>
            <w:pPr>
              <w:spacing w:line="360" w:lineRule="auto"/>
              <w:rPr>
                <w:bCs/>
                <w:sz w:val="24"/>
              </w:rPr>
            </w:pPr>
            <w:r>
              <w:rPr>
                <w:rFonts w:hint="eastAsia"/>
                <w:b/>
                <w:sz w:val="24"/>
              </w:rPr>
              <w:t>7.5.1工程监测点工频电磁场</w:t>
            </w:r>
            <w:r>
              <w:rPr>
                <w:rFonts w:hint="eastAsia"/>
                <w:b/>
                <w:bCs/>
                <w:sz w:val="24"/>
              </w:rPr>
              <w:t>监测结果分析与评价</w:t>
            </w:r>
          </w:p>
          <w:p>
            <w:pPr>
              <w:spacing w:line="360" w:lineRule="auto"/>
              <w:rPr>
                <w:bCs/>
                <w:sz w:val="24"/>
              </w:rPr>
            </w:pPr>
            <w:r>
              <w:rPr>
                <w:rFonts w:hint="eastAsia"/>
                <w:bCs/>
                <w:sz w:val="24"/>
              </w:rPr>
              <w:t xml:space="preserve">   工程监测点工频电磁场监测结果如下表7</w:t>
            </w:r>
            <w:r>
              <w:rPr>
                <w:bCs/>
                <w:sz w:val="24"/>
              </w:rPr>
              <w:t>-</w:t>
            </w:r>
            <w:r>
              <w:rPr>
                <w:rFonts w:hint="eastAsia"/>
                <w:bCs/>
                <w:sz w:val="24"/>
              </w:rPr>
              <w:t>3</w:t>
            </w:r>
          </w:p>
          <w:p>
            <w:pPr>
              <w:spacing w:line="360" w:lineRule="auto"/>
              <w:rPr>
                <w:b/>
                <w:sz w:val="24"/>
              </w:rPr>
            </w:pPr>
            <w:r>
              <w:rPr>
                <w:rFonts w:hint="eastAsia"/>
                <w:b/>
                <w:sz w:val="24"/>
              </w:rPr>
              <w:t>表7-3       “</w:t>
            </w:r>
            <w:r>
              <w:rPr>
                <w:rFonts w:hint="eastAsia"/>
                <w:b/>
                <w:sz w:val="24"/>
                <w:szCs w:val="24"/>
              </w:rPr>
              <w:t>龙安35</w:t>
            </w:r>
            <w:r>
              <w:rPr>
                <w:rFonts w:hint="eastAsia"/>
                <w:b/>
                <w:bCs/>
                <w:sz w:val="24"/>
                <w:szCs w:val="24"/>
              </w:rPr>
              <w:t>kV</w:t>
            </w:r>
            <w:r>
              <w:rPr>
                <w:rFonts w:hint="eastAsia"/>
                <w:b/>
                <w:sz w:val="24"/>
                <w:szCs w:val="24"/>
              </w:rPr>
              <w:t>变电站灾后恢复重建改造工程</w:t>
            </w:r>
            <w:r>
              <w:rPr>
                <w:rFonts w:hint="eastAsia"/>
                <w:b/>
                <w:sz w:val="24"/>
              </w:rPr>
              <w:t>”</w:t>
            </w:r>
          </w:p>
          <w:p>
            <w:pPr>
              <w:spacing w:line="360" w:lineRule="auto"/>
              <w:ind w:firstLine="2409" w:firstLineChars="1000"/>
              <w:rPr>
                <w:b/>
                <w:sz w:val="24"/>
              </w:rPr>
            </w:pPr>
            <w:r>
              <w:rPr>
                <w:rFonts w:hint="eastAsia"/>
                <w:b/>
                <w:sz w:val="24"/>
              </w:rPr>
              <w:t>项目</w:t>
            </w:r>
            <w:r>
              <w:rPr>
                <w:b/>
                <w:sz w:val="24"/>
              </w:rPr>
              <w:t>工频电磁场</w:t>
            </w:r>
            <w:r>
              <w:rPr>
                <w:rFonts w:hint="eastAsia"/>
                <w:b/>
                <w:sz w:val="24"/>
              </w:rPr>
              <w:t>现状</w:t>
            </w:r>
            <w:r>
              <w:rPr>
                <w:b/>
                <w:sz w:val="24"/>
              </w:rPr>
              <w:t>监测结果</w:t>
            </w:r>
          </w:p>
          <w:tbl>
            <w:tblPr>
              <w:tblStyle w:val="17"/>
              <w:tblpPr w:leftFromText="180" w:rightFromText="180" w:vertAnchor="text" w:horzAnchor="page" w:tblpX="80" w:tblpY="221"/>
              <w:tblOverlap w:val="never"/>
              <w:tblW w:w="8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959"/>
              <w:gridCol w:w="1581"/>
              <w:gridCol w:w="988"/>
              <w:gridCol w:w="993"/>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vMerge w:val="restart"/>
                  <w:tcBorders>
                    <w:top w:val="single" w:color="auto" w:sz="12" w:space="0"/>
                    <w:left w:val="single" w:color="auto" w:sz="2" w:space="0"/>
                    <w:bottom w:val="single" w:color="auto" w:sz="2" w:space="0"/>
                    <w:right w:val="single" w:color="auto" w:sz="2" w:space="0"/>
                  </w:tcBorders>
                  <w:vAlign w:val="center"/>
                </w:tcPr>
                <w:p>
                  <w:pPr>
                    <w:jc w:val="center"/>
                    <w:rPr>
                      <w:bCs/>
                      <w:sz w:val="24"/>
                    </w:rPr>
                  </w:pPr>
                  <w:r>
                    <w:rPr>
                      <w:rFonts w:hint="eastAsia"/>
                      <w:b/>
                      <w:bCs/>
                      <w:sz w:val="24"/>
                    </w:rPr>
                    <w:t>编号</w:t>
                  </w:r>
                </w:p>
              </w:tc>
              <w:tc>
                <w:tcPr>
                  <w:tcW w:w="2959" w:type="dxa"/>
                  <w:vMerge w:val="restart"/>
                  <w:tcBorders>
                    <w:top w:val="single" w:color="auto" w:sz="12" w:space="0"/>
                    <w:left w:val="single" w:color="auto" w:sz="2" w:space="0"/>
                    <w:bottom w:val="single" w:color="auto" w:sz="2" w:space="0"/>
                    <w:right w:val="single" w:color="auto" w:sz="2" w:space="0"/>
                  </w:tcBorders>
                  <w:vAlign w:val="center"/>
                </w:tcPr>
                <w:p>
                  <w:pPr>
                    <w:jc w:val="center"/>
                    <w:rPr>
                      <w:bCs/>
                      <w:sz w:val="24"/>
                    </w:rPr>
                  </w:pPr>
                  <w:r>
                    <w:rPr>
                      <w:rFonts w:hint="eastAsia"/>
                      <w:b/>
                      <w:bCs/>
                      <w:sz w:val="24"/>
                    </w:rPr>
                    <w:t>点位位置</w:t>
                  </w:r>
                </w:p>
              </w:tc>
              <w:tc>
                <w:tcPr>
                  <w:tcW w:w="1581" w:type="dxa"/>
                  <w:vMerge w:val="restart"/>
                  <w:tcBorders>
                    <w:top w:val="single" w:color="auto" w:sz="12" w:space="0"/>
                    <w:left w:val="single" w:color="auto" w:sz="2" w:space="0"/>
                    <w:bottom w:val="single" w:color="auto" w:sz="2" w:space="0"/>
                    <w:right w:val="single" w:color="auto" w:sz="2" w:space="0"/>
                  </w:tcBorders>
                  <w:vAlign w:val="center"/>
                </w:tcPr>
                <w:p>
                  <w:pPr>
                    <w:jc w:val="center"/>
                    <w:rPr>
                      <w:bCs/>
                      <w:sz w:val="24"/>
                    </w:rPr>
                  </w:pPr>
                  <w:r>
                    <w:rPr>
                      <w:rFonts w:hint="eastAsia"/>
                      <w:b/>
                      <w:bCs/>
                      <w:sz w:val="24"/>
                    </w:rPr>
                    <w:t>工频电场强度（</w:t>
                  </w:r>
                  <w:r>
                    <w:rPr>
                      <w:b/>
                      <w:bCs/>
                      <w:sz w:val="24"/>
                    </w:rPr>
                    <w:t>V/m</w:t>
                  </w:r>
                  <w:r>
                    <w:rPr>
                      <w:rFonts w:hint="eastAsia"/>
                      <w:b/>
                      <w:bCs/>
                      <w:sz w:val="24"/>
                    </w:rPr>
                    <w:t>）</w:t>
                  </w:r>
                </w:p>
              </w:tc>
              <w:tc>
                <w:tcPr>
                  <w:tcW w:w="3167" w:type="dxa"/>
                  <w:gridSpan w:val="3"/>
                  <w:tcBorders>
                    <w:top w:val="single" w:color="auto" w:sz="12" w:space="0"/>
                    <w:left w:val="single" w:color="auto" w:sz="2" w:space="0"/>
                    <w:bottom w:val="single" w:color="auto" w:sz="2" w:space="0"/>
                    <w:right w:val="single" w:color="auto" w:sz="2" w:space="0"/>
                  </w:tcBorders>
                  <w:vAlign w:val="center"/>
                </w:tcPr>
                <w:p>
                  <w:pPr>
                    <w:widowControl/>
                    <w:jc w:val="center"/>
                    <w:rPr>
                      <w:bCs/>
                      <w:sz w:val="24"/>
                    </w:rPr>
                  </w:pPr>
                  <w:r>
                    <w:rPr>
                      <w:rFonts w:hint="eastAsia"/>
                      <w:b/>
                      <w:bCs/>
                      <w:sz w:val="24"/>
                    </w:rPr>
                    <w:t>工频磁感应强度（</w:t>
                  </w:r>
                  <w:r>
                    <w:rPr>
                      <w:rFonts w:eastAsia="黑体"/>
                      <w:b/>
                      <w:kern w:val="0"/>
                      <w:sz w:val="24"/>
                    </w:rPr>
                    <w:t>μ</w:t>
                  </w:r>
                  <w:r>
                    <w:rPr>
                      <w:b/>
                      <w:bCs/>
                      <w:sz w:val="24"/>
                    </w:rPr>
                    <w:t>T</w:t>
                  </w:r>
                  <w:r>
                    <w:rPr>
                      <w:rFonts w:hint="eastAsia"/>
                      <w:b/>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vMerge w:val="continue"/>
                  <w:tcBorders>
                    <w:top w:val="single" w:color="auto" w:sz="2" w:space="0"/>
                    <w:left w:val="single" w:color="auto" w:sz="2" w:space="0"/>
                    <w:bottom w:val="single" w:color="auto" w:sz="12" w:space="0"/>
                    <w:right w:val="single" w:color="auto" w:sz="2" w:space="0"/>
                  </w:tcBorders>
                  <w:vAlign w:val="center"/>
                </w:tcPr>
                <w:p>
                  <w:pPr>
                    <w:jc w:val="center"/>
                    <w:rPr>
                      <w:bCs/>
                      <w:sz w:val="24"/>
                    </w:rPr>
                  </w:pPr>
                </w:p>
              </w:tc>
              <w:tc>
                <w:tcPr>
                  <w:tcW w:w="2959" w:type="dxa"/>
                  <w:vMerge w:val="continue"/>
                  <w:tcBorders>
                    <w:top w:val="single" w:color="auto" w:sz="2" w:space="0"/>
                    <w:left w:val="single" w:color="auto" w:sz="2" w:space="0"/>
                    <w:bottom w:val="single" w:color="auto" w:sz="12" w:space="0"/>
                    <w:right w:val="single" w:color="auto" w:sz="2" w:space="0"/>
                  </w:tcBorders>
                  <w:vAlign w:val="center"/>
                </w:tcPr>
                <w:p>
                  <w:pPr>
                    <w:jc w:val="center"/>
                    <w:rPr>
                      <w:bCs/>
                      <w:sz w:val="24"/>
                    </w:rPr>
                  </w:pPr>
                </w:p>
              </w:tc>
              <w:tc>
                <w:tcPr>
                  <w:tcW w:w="1581" w:type="dxa"/>
                  <w:vMerge w:val="continue"/>
                  <w:tcBorders>
                    <w:top w:val="single" w:color="auto" w:sz="2" w:space="0"/>
                    <w:left w:val="single" w:color="auto" w:sz="2" w:space="0"/>
                    <w:bottom w:val="single" w:color="auto" w:sz="12" w:space="0"/>
                    <w:right w:val="single" w:color="auto" w:sz="2" w:space="0"/>
                  </w:tcBorders>
                  <w:vAlign w:val="center"/>
                </w:tcPr>
                <w:p>
                  <w:pPr>
                    <w:jc w:val="center"/>
                    <w:rPr>
                      <w:bCs/>
                      <w:sz w:val="24"/>
                    </w:rPr>
                  </w:pPr>
                </w:p>
              </w:tc>
              <w:tc>
                <w:tcPr>
                  <w:tcW w:w="988" w:type="dxa"/>
                  <w:tcBorders>
                    <w:top w:val="single" w:color="auto" w:sz="2" w:space="0"/>
                    <w:left w:val="single" w:color="auto" w:sz="2" w:space="0"/>
                    <w:bottom w:val="single" w:color="auto" w:sz="4" w:space="0"/>
                    <w:right w:val="single" w:color="auto" w:sz="2" w:space="0"/>
                  </w:tcBorders>
                  <w:vAlign w:val="center"/>
                </w:tcPr>
                <w:p>
                  <w:pPr>
                    <w:widowControl/>
                    <w:spacing w:line="0" w:lineRule="atLeast"/>
                    <w:jc w:val="center"/>
                    <w:rPr>
                      <w:b/>
                      <w:sz w:val="20"/>
                      <w:szCs w:val="20"/>
                    </w:rPr>
                  </w:pPr>
                  <w:r>
                    <w:rPr>
                      <w:rFonts w:hint="eastAsia"/>
                      <w:b/>
                      <w:sz w:val="20"/>
                      <w:szCs w:val="20"/>
                    </w:rPr>
                    <w:t>负荷比</w:t>
                  </w:r>
                </w:p>
                <w:p>
                  <w:pPr>
                    <w:jc w:val="center"/>
                    <w:rPr>
                      <w:bCs/>
                      <w:sz w:val="24"/>
                    </w:rPr>
                  </w:pPr>
                  <w:r>
                    <w:rPr>
                      <w:rFonts w:hint="eastAsia"/>
                      <w:b/>
                      <w:sz w:val="20"/>
                      <w:szCs w:val="20"/>
                    </w:rPr>
                    <w:t>（%）</w:t>
                  </w:r>
                </w:p>
              </w:tc>
              <w:tc>
                <w:tcPr>
                  <w:tcW w:w="993" w:type="dxa"/>
                  <w:tcBorders>
                    <w:top w:val="single" w:color="auto" w:sz="2" w:space="0"/>
                    <w:left w:val="single" w:color="auto" w:sz="2" w:space="0"/>
                    <w:bottom w:val="single" w:color="auto" w:sz="12" w:space="0"/>
                    <w:right w:val="single" w:color="auto" w:sz="2" w:space="0"/>
                  </w:tcBorders>
                  <w:vAlign w:val="center"/>
                </w:tcPr>
                <w:p>
                  <w:pPr>
                    <w:jc w:val="center"/>
                    <w:rPr>
                      <w:bCs/>
                      <w:sz w:val="24"/>
                    </w:rPr>
                  </w:pPr>
                  <w:r>
                    <w:rPr>
                      <w:rFonts w:hint="eastAsia"/>
                      <w:b/>
                      <w:bCs/>
                      <w:sz w:val="24"/>
                    </w:rPr>
                    <w:t>监测值</w:t>
                  </w:r>
                </w:p>
              </w:tc>
              <w:tc>
                <w:tcPr>
                  <w:tcW w:w="1186" w:type="dxa"/>
                  <w:tcBorders>
                    <w:top w:val="single" w:color="auto" w:sz="2" w:space="0"/>
                    <w:left w:val="single" w:color="auto" w:sz="2" w:space="0"/>
                    <w:bottom w:val="single" w:color="auto" w:sz="12" w:space="0"/>
                    <w:right w:val="single" w:color="auto" w:sz="2" w:space="0"/>
                  </w:tcBorders>
                  <w:vAlign w:val="center"/>
                </w:tcPr>
                <w:p>
                  <w:pPr>
                    <w:jc w:val="center"/>
                    <w:rPr>
                      <w:bCs/>
                      <w:sz w:val="24"/>
                    </w:rPr>
                  </w:pPr>
                  <w:r>
                    <w:rPr>
                      <w:rFonts w:hint="eastAsia"/>
                      <w:b/>
                      <w:bCs/>
                      <w:sz w:val="24"/>
                    </w:rPr>
                    <w:t>修正值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8" w:hRule="atLeast"/>
              </w:trPr>
              <w:tc>
                <w:tcPr>
                  <w:tcW w:w="706" w:type="dxa"/>
                  <w:tcBorders>
                    <w:top w:val="single" w:color="auto" w:sz="12" w:space="0"/>
                  </w:tcBorders>
                  <w:vAlign w:val="center"/>
                </w:tcPr>
                <w:p>
                  <w:pPr>
                    <w:jc w:val="center"/>
                    <w:rPr>
                      <w:bCs/>
                      <w:szCs w:val="21"/>
                    </w:rPr>
                  </w:pPr>
                  <w:r>
                    <w:rPr>
                      <w:bCs/>
                      <w:szCs w:val="21"/>
                    </w:rPr>
                    <w:t>1</w:t>
                  </w:r>
                </w:p>
              </w:tc>
              <w:tc>
                <w:tcPr>
                  <w:tcW w:w="2959" w:type="dxa"/>
                  <w:tcBorders>
                    <w:top w:val="single" w:color="auto" w:sz="12" w:space="0"/>
                  </w:tcBorders>
                  <w:vAlign w:val="center"/>
                </w:tcPr>
                <w:p>
                  <w:pPr>
                    <w:widowControl/>
                    <w:jc w:val="center"/>
                    <w:textAlignment w:val="bottom"/>
                    <w:rPr>
                      <w:bCs/>
                      <w:kern w:val="0"/>
                      <w:sz w:val="22"/>
                    </w:rPr>
                  </w:pPr>
                  <w:r>
                    <w:rPr>
                      <w:rFonts w:hint="eastAsia"/>
                      <w:bCs/>
                      <w:sz w:val="22"/>
                    </w:rPr>
                    <w:t>龙安110kV变电站站界东侧</w:t>
                  </w:r>
                </w:p>
              </w:tc>
              <w:tc>
                <w:tcPr>
                  <w:tcW w:w="1581" w:type="dxa"/>
                  <w:tcBorders>
                    <w:top w:val="single" w:color="auto" w:sz="12" w:space="0"/>
                  </w:tcBorders>
                  <w:vAlign w:val="center"/>
                </w:tcPr>
                <w:p>
                  <w:pPr>
                    <w:widowControl/>
                    <w:jc w:val="center"/>
                    <w:textAlignment w:val="bottom"/>
                    <w:rPr>
                      <w:bCs/>
                      <w:kern w:val="0"/>
                      <w:sz w:val="22"/>
                    </w:rPr>
                  </w:pPr>
                  <w:r>
                    <w:rPr>
                      <w:rFonts w:hint="eastAsia"/>
                      <w:bCs/>
                      <w:kern w:val="0"/>
                      <w:sz w:val="22"/>
                    </w:rPr>
                    <w:t>12.22</w:t>
                  </w:r>
                </w:p>
              </w:tc>
              <w:tc>
                <w:tcPr>
                  <w:tcW w:w="988" w:type="dxa"/>
                  <w:tcBorders>
                    <w:top w:val="single" w:color="auto" w:sz="12" w:space="0"/>
                  </w:tcBorders>
                  <w:vAlign w:val="center"/>
                </w:tcPr>
                <w:p>
                  <w:pPr>
                    <w:jc w:val="center"/>
                    <w:rPr>
                      <w:bCs/>
                      <w:szCs w:val="21"/>
                    </w:rPr>
                  </w:pPr>
                  <w:r>
                    <w:rPr>
                      <w:rFonts w:hint="eastAsia"/>
                      <w:szCs w:val="21"/>
                    </w:rPr>
                    <w:t>54%</w:t>
                  </w:r>
                </w:p>
              </w:tc>
              <w:tc>
                <w:tcPr>
                  <w:tcW w:w="993" w:type="dxa"/>
                  <w:tcBorders>
                    <w:top w:val="single" w:color="auto" w:sz="12" w:space="0"/>
                  </w:tcBorders>
                  <w:vAlign w:val="center"/>
                </w:tcPr>
                <w:p>
                  <w:pPr>
                    <w:widowControl/>
                    <w:jc w:val="center"/>
                    <w:textAlignment w:val="bottom"/>
                    <w:rPr>
                      <w:bCs/>
                      <w:kern w:val="0"/>
                      <w:sz w:val="22"/>
                    </w:rPr>
                  </w:pPr>
                  <w:r>
                    <w:rPr>
                      <w:rFonts w:hint="eastAsia"/>
                      <w:bCs/>
                      <w:kern w:val="0"/>
                      <w:sz w:val="22"/>
                    </w:rPr>
                    <w:t>0.0223</w:t>
                  </w:r>
                </w:p>
              </w:tc>
              <w:tc>
                <w:tcPr>
                  <w:tcW w:w="1186" w:type="dxa"/>
                  <w:tcBorders>
                    <w:top w:val="single" w:color="auto" w:sz="12" w:space="0"/>
                  </w:tcBorders>
                  <w:vAlign w:val="center"/>
                </w:tcPr>
                <w:p>
                  <w:pPr>
                    <w:jc w:val="center"/>
                    <w:rPr>
                      <w:bCs/>
                      <w:szCs w:val="21"/>
                    </w:rPr>
                  </w:pPr>
                  <w:r>
                    <w:rPr>
                      <w:rFonts w:hint="eastAsia"/>
                      <w:bCs/>
                      <w:szCs w:val="21"/>
                    </w:rPr>
                    <w:t>0.0413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06" w:type="dxa"/>
                  <w:vAlign w:val="center"/>
                </w:tcPr>
                <w:p>
                  <w:pPr>
                    <w:jc w:val="center"/>
                    <w:rPr>
                      <w:bCs/>
                      <w:szCs w:val="21"/>
                    </w:rPr>
                  </w:pPr>
                  <w:r>
                    <w:rPr>
                      <w:rFonts w:hint="eastAsia"/>
                      <w:bCs/>
                      <w:szCs w:val="21"/>
                    </w:rPr>
                    <w:t>2</w:t>
                  </w:r>
                </w:p>
              </w:tc>
              <w:tc>
                <w:tcPr>
                  <w:tcW w:w="2959" w:type="dxa"/>
                  <w:vAlign w:val="center"/>
                </w:tcPr>
                <w:p>
                  <w:pPr>
                    <w:widowControl/>
                    <w:jc w:val="center"/>
                    <w:textAlignment w:val="bottom"/>
                    <w:rPr>
                      <w:bCs/>
                      <w:sz w:val="22"/>
                    </w:rPr>
                  </w:pPr>
                  <w:r>
                    <w:rPr>
                      <w:rFonts w:hint="eastAsia"/>
                      <w:bCs/>
                      <w:sz w:val="22"/>
                    </w:rPr>
                    <w:t>龙安110kV变电站站界北侧</w:t>
                  </w:r>
                </w:p>
              </w:tc>
              <w:tc>
                <w:tcPr>
                  <w:tcW w:w="1581" w:type="dxa"/>
                  <w:vAlign w:val="center"/>
                </w:tcPr>
                <w:p>
                  <w:pPr>
                    <w:widowControl/>
                    <w:jc w:val="center"/>
                    <w:textAlignment w:val="bottom"/>
                    <w:rPr>
                      <w:bCs/>
                      <w:sz w:val="22"/>
                    </w:rPr>
                  </w:pPr>
                  <w:r>
                    <w:rPr>
                      <w:rFonts w:hint="eastAsia"/>
                      <w:bCs/>
                      <w:kern w:val="0"/>
                      <w:sz w:val="22"/>
                    </w:rPr>
                    <w:t>52.40</w:t>
                  </w:r>
                </w:p>
              </w:tc>
              <w:tc>
                <w:tcPr>
                  <w:tcW w:w="988" w:type="dxa"/>
                  <w:vAlign w:val="center"/>
                </w:tcPr>
                <w:p>
                  <w:pPr>
                    <w:jc w:val="center"/>
                  </w:pPr>
                  <w:r>
                    <w:rPr>
                      <w:rFonts w:hint="eastAsia"/>
                      <w:szCs w:val="21"/>
                    </w:rPr>
                    <w:t>54%</w:t>
                  </w:r>
                </w:p>
              </w:tc>
              <w:tc>
                <w:tcPr>
                  <w:tcW w:w="993" w:type="dxa"/>
                  <w:vAlign w:val="center"/>
                </w:tcPr>
                <w:p>
                  <w:pPr>
                    <w:widowControl/>
                    <w:jc w:val="center"/>
                    <w:textAlignment w:val="bottom"/>
                    <w:rPr>
                      <w:bCs/>
                      <w:sz w:val="22"/>
                    </w:rPr>
                  </w:pPr>
                  <w:r>
                    <w:rPr>
                      <w:rFonts w:hint="eastAsia"/>
                      <w:bCs/>
                      <w:kern w:val="0"/>
                      <w:sz w:val="22"/>
                    </w:rPr>
                    <w:t>0.1879</w:t>
                  </w:r>
                </w:p>
              </w:tc>
              <w:tc>
                <w:tcPr>
                  <w:tcW w:w="1186" w:type="dxa"/>
                  <w:vAlign w:val="center"/>
                </w:tcPr>
                <w:p>
                  <w:pPr>
                    <w:jc w:val="center"/>
                    <w:rPr>
                      <w:bCs/>
                      <w:szCs w:val="21"/>
                    </w:rPr>
                  </w:pPr>
                  <w:r>
                    <w:rPr>
                      <w:rFonts w:hint="eastAsia"/>
                      <w:bCs/>
                      <w:szCs w:val="21"/>
                    </w:rPr>
                    <w:t>0.3480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706" w:type="dxa"/>
                  <w:vAlign w:val="center"/>
                </w:tcPr>
                <w:p>
                  <w:pPr>
                    <w:jc w:val="center"/>
                    <w:rPr>
                      <w:bCs/>
                      <w:szCs w:val="21"/>
                    </w:rPr>
                  </w:pPr>
                  <w:r>
                    <w:rPr>
                      <w:rFonts w:hint="eastAsia"/>
                      <w:bCs/>
                      <w:szCs w:val="21"/>
                    </w:rPr>
                    <w:t>3</w:t>
                  </w:r>
                </w:p>
              </w:tc>
              <w:tc>
                <w:tcPr>
                  <w:tcW w:w="2959" w:type="dxa"/>
                  <w:vAlign w:val="center"/>
                </w:tcPr>
                <w:p>
                  <w:pPr>
                    <w:widowControl/>
                    <w:jc w:val="center"/>
                    <w:textAlignment w:val="bottom"/>
                    <w:rPr>
                      <w:bCs/>
                      <w:sz w:val="22"/>
                    </w:rPr>
                  </w:pPr>
                  <w:r>
                    <w:rPr>
                      <w:rFonts w:hint="eastAsia"/>
                      <w:bCs/>
                      <w:kern w:val="0"/>
                      <w:sz w:val="22"/>
                    </w:rPr>
                    <w:t>龙安110kV变电站站界西侧</w:t>
                  </w:r>
                </w:p>
              </w:tc>
              <w:tc>
                <w:tcPr>
                  <w:tcW w:w="1581" w:type="dxa"/>
                  <w:vAlign w:val="center"/>
                </w:tcPr>
                <w:p>
                  <w:pPr>
                    <w:widowControl/>
                    <w:jc w:val="center"/>
                    <w:textAlignment w:val="bottom"/>
                    <w:rPr>
                      <w:bCs/>
                      <w:sz w:val="22"/>
                    </w:rPr>
                  </w:pPr>
                  <w:r>
                    <w:rPr>
                      <w:rFonts w:hint="eastAsia"/>
                      <w:bCs/>
                      <w:kern w:val="0"/>
                      <w:sz w:val="22"/>
                    </w:rPr>
                    <w:t>14.67</w:t>
                  </w:r>
                </w:p>
              </w:tc>
              <w:tc>
                <w:tcPr>
                  <w:tcW w:w="988" w:type="dxa"/>
                  <w:vAlign w:val="center"/>
                </w:tcPr>
                <w:p>
                  <w:pPr>
                    <w:jc w:val="center"/>
                  </w:pPr>
                  <w:r>
                    <w:rPr>
                      <w:rFonts w:hint="eastAsia"/>
                      <w:szCs w:val="21"/>
                    </w:rPr>
                    <w:t>54%</w:t>
                  </w:r>
                </w:p>
              </w:tc>
              <w:tc>
                <w:tcPr>
                  <w:tcW w:w="993" w:type="dxa"/>
                  <w:vAlign w:val="center"/>
                </w:tcPr>
                <w:p>
                  <w:pPr>
                    <w:widowControl/>
                    <w:jc w:val="center"/>
                    <w:textAlignment w:val="bottom"/>
                    <w:rPr>
                      <w:bCs/>
                      <w:sz w:val="22"/>
                    </w:rPr>
                  </w:pPr>
                  <w:r>
                    <w:rPr>
                      <w:rFonts w:hint="eastAsia"/>
                      <w:bCs/>
                      <w:kern w:val="0"/>
                      <w:sz w:val="22"/>
                    </w:rPr>
                    <w:t>0.0280</w:t>
                  </w:r>
                </w:p>
              </w:tc>
              <w:tc>
                <w:tcPr>
                  <w:tcW w:w="1186" w:type="dxa"/>
                  <w:vAlign w:val="center"/>
                </w:tcPr>
                <w:p>
                  <w:pPr>
                    <w:jc w:val="center"/>
                    <w:rPr>
                      <w:bCs/>
                      <w:szCs w:val="21"/>
                    </w:rPr>
                  </w:pPr>
                  <w:r>
                    <w:rPr>
                      <w:rFonts w:hint="eastAsia"/>
                      <w:bCs/>
                      <w:szCs w:val="21"/>
                    </w:rPr>
                    <w:t>0.0518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06" w:type="dxa"/>
                  <w:vAlign w:val="center"/>
                </w:tcPr>
                <w:p>
                  <w:pPr>
                    <w:jc w:val="center"/>
                    <w:rPr>
                      <w:bCs/>
                      <w:szCs w:val="21"/>
                    </w:rPr>
                  </w:pPr>
                  <w:r>
                    <w:rPr>
                      <w:rFonts w:hint="eastAsia"/>
                      <w:bCs/>
                      <w:szCs w:val="21"/>
                    </w:rPr>
                    <w:t>4</w:t>
                  </w:r>
                </w:p>
              </w:tc>
              <w:tc>
                <w:tcPr>
                  <w:tcW w:w="2959" w:type="dxa"/>
                  <w:vAlign w:val="center"/>
                </w:tcPr>
                <w:p>
                  <w:pPr>
                    <w:widowControl/>
                    <w:jc w:val="center"/>
                    <w:textAlignment w:val="bottom"/>
                    <w:rPr>
                      <w:bCs/>
                      <w:sz w:val="22"/>
                    </w:rPr>
                  </w:pPr>
                  <w:r>
                    <w:rPr>
                      <w:rFonts w:hint="eastAsia"/>
                      <w:bCs/>
                      <w:kern w:val="0"/>
                      <w:sz w:val="22"/>
                    </w:rPr>
                    <w:t>龙安110kV变电站站界南侧</w:t>
                  </w:r>
                </w:p>
              </w:tc>
              <w:tc>
                <w:tcPr>
                  <w:tcW w:w="1581" w:type="dxa"/>
                  <w:vAlign w:val="center"/>
                </w:tcPr>
                <w:p>
                  <w:pPr>
                    <w:widowControl/>
                    <w:jc w:val="center"/>
                    <w:textAlignment w:val="bottom"/>
                    <w:rPr>
                      <w:bCs/>
                      <w:sz w:val="22"/>
                    </w:rPr>
                  </w:pPr>
                  <w:r>
                    <w:rPr>
                      <w:rFonts w:hint="eastAsia"/>
                      <w:bCs/>
                      <w:kern w:val="0"/>
                      <w:sz w:val="22"/>
                    </w:rPr>
                    <w:t>16.68</w:t>
                  </w:r>
                </w:p>
              </w:tc>
              <w:tc>
                <w:tcPr>
                  <w:tcW w:w="988" w:type="dxa"/>
                  <w:vAlign w:val="center"/>
                </w:tcPr>
                <w:p>
                  <w:pPr>
                    <w:jc w:val="center"/>
                  </w:pPr>
                  <w:r>
                    <w:rPr>
                      <w:rFonts w:hint="eastAsia"/>
                      <w:szCs w:val="21"/>
                    </w:rPr>
                    <w:t>54%</w:t>
                  </w:r>
                </w:p>
              </w:tc>
              <w:tc>
                <w:tcPr>
                  <w:tcW w:w="993" w:type="dxa"/>
                  <w:vAlign w:val="center"/>
                </w:tcPr>
                <w:p>
                  <w:pPr>
                    <w:widowControl/>
                    <w:jc w:val="center"/>
                    <w:textAlignment w:val="bottom"/>
                    <w:rPr>
                      <w:bCs/>
                      <w:sz w:val="22"/>
                    </w:rPr>
                  </w:pPr>
                  <w:r>
                    <w:rPr>
                      <w:rFonts w:hint="eastAsia"/>
                      <w:bCs/>
                      <w:kern w:val="0"/>
                      <w:sz w:val="22"/>
                    </w:rPr>
                    <w:t>0.0333</w:t>
                  </w:r>
                </w:p>
              </w:tc>
              <w:tc>
                <w:tcPr>
                  <w:tcW w:w="1186" w:type="dxa"/>
                  <w:vAlign w:val="center"/>
                </w:tcPr>
                <w:p>
                  <w:pPr>
                    <w:jc w:val="center"/>
                    <w:rPr>
                      <w:bCs/>
                      <w:szCs w:val="21"/>
                    </w:rPr>
                  </w:pPr>
                  <w:r>
                    <w:rPr>
                      <w:rFonts w:hint="eastAsia"/>
                      <w:bCs/>
                      <w:szCs w:val="21"/>
                    </w:rPr>
                    <w:t>0.0617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trPr>
              <w:tc>
                <w:tcPr>
                  <w:tcW w:w="706" w:type="dxa"/>
                  <w:tcBorders>
                    <w:top w:val="single" w:color="auto" w:sz="2" w:space="0"/>
                    <w:bottom w:val="single" w:color="auto" w:sz="12" w:space="0"/>
                  </w:tcBorders>
                  <w:vAlign w:val="center"/>
                </w:tcPr>
                <w:p>
                  <w:pPr>
                    <w:jc w:val="center"/>
                    <w:rPr>
                      <w:bCs/>
                      <w:szCs w:val="21"/>
                    </w:rPr>
                  </w:pPr>
                  <w:r>
                    <w:rPr>
                      <w:rFonts w:hint="eastAsia"/>
                      <w:bCs/>
                      <w:szCs w:val="21"/>
                    </w:rPr>
                    <w:t>5</w:t>
                  </w:r>
                </w:p>
              </w:tc>
              <w:tc>
                <w:tcPr>
                  <w:tcW w:w="2959" w:type="dxa"/>
                  <w:tcBorders>
                    <w:top w:val="single" w:color="auto" w:sz="2" w:space="0"/>
                    <w:bottom w:val="single" w:color="auto" w:sz="12" w:space="0"/>
                  </w:tcBorders>
                  <w:vAlign w:val="center"/>
                </w:tcPr>
                <w:p>
                  <w:pPr>
                    <w:widowControl/>
                    <w:jc w:val="center"/>
                    <w:textAlignment w:val="bottom"/>
                    <w:rPr>
                      <w:bCs/>
                      <w:sz w:val="22"/>
                    </w:rPr>
                  </w:pPr>
                  <w:r>
                    <w:rPr>
                      <w:rFonts w:hint="eastAsia"/>
                      <w:bCs/>
                      <w:sz w:val="22"/>
                    </w:rPr>
                    <w:t>龙安110kV变电站站界南侧约5m处，齐明义住宅旁</w:t>
                  </w:r>
                </w:p>
              </w:tc>
              <w:tc>
                <w:tcPr>
                  <w:tcW w:w="1581" w:type="dxa"/>
                  <w:tcBorders>
                    <w:top w:val="single" w:color="auto" w:sz="2" w:space="0"/>
                    <w:bottom w:val="single" w:color="auto" w:sz="12" w:space="0"/>
                  </w:tcBorders>
                  <w:vAlign w:val="center"/>
                </w:tcPr>
                <w:p>
                  <w:pPr>
                    <w:widowControl/>
                    <w:jc w:val="center"/>
                    <w:textAlignment w:val="bottom"/>
                    <w:rPr>
                      <w:bCs/>
                      <w:sz w:val="22"/>
                    </w:rPr>
                  </w:pPr>
                  <w:r>
                    <w:rPr>
                      <w:rFonts w:hint="eastAsia"/>
                      <w:bCs/>
                      <w:kern w:val="0"/>
                      <w:sz w:val="22"/>
                    </w:rPr>
                    <w:t>16.49</w:t>
                  </w:r>
                </w:p>
              </w:tc>
              <w:tc>
                <w:tcPr>
                  <w:tcW w:w="988" w:type="dxa"/>
                  <w:tcBorders>
                    <w:top w:val="single" w:color="auto" w:sz="2" w:space="0"/>
                    <w:bottom w:val="single" w:color="auto" w:sz="12" w:space="0"/>
                  </w:tcBorders>
                  <w:vAlign w:val="center"/>
                </w:tcPr>
                <w:p>
                  <w:pPr>
                    <w:widowControl/>
                    <w:jc w:val="center"/>
                    <w:rPr>
                      <w:bCs/>
                      <w:szCs w:val="21"/>
                    </w:rPr>
                  </w:pPr>
                  <w:r>
                    <w:rPr>
                      <w:rFonts w:hint="eastAsia"/>
                      <w:szCs w:val="21"/>
                    </w:rPr>
                    <w:t>54%</w:t>
                  </w:r>
                </w:p>
              </w:tc>
              <w:tc>
                <w:tcPr>
                  <w:tcW w:w="993" w:type="dxa"/>
                  <w:tcBorders>
                    <w:top w:val="single" w:color="auto" w:sz="2" w:space="0"/>
                    <w:bottom w:val="single" w:color="auto" w:sz="12" w:space="0"/>
                  </w:tcBorders>
                  <w:vAlign w:val="center"/>
                </w:tcPr>
                <w:p>
                  <w:pPr>
                    <w:widowControl/>
                    <w:jc w:val="center"/>
                    <w:textAlignment w:val="bottom"/>
                    <w:rPr>
                      <w:bCs/>
                      <w:sz w:val="22"/>
                    </w:rPr>
                  </w:pPr>
                  <w:r>
                    <w:rPr>
                      <w:rFonts w:hint="eastAsia"/>
                      <w:bCs/>
                      <w:kern w:val="0"/>
                      <w:sz w:val="22"/>
                    </w:rPr>
                    <w:t>0.0319</w:t>
                  </w:r>
                </w:p>
              </w:tc>
              <w:tc>
                <w:tcPr>
                  <w:tcW w:w="1186" w:type="dxa"/>
                  <w:tcBorders>
                    <w:top w:val="single" w:color="auto" w:sz="2" w:space="0"/>
                    <w:bottom w:val="single" w:color="auto" w:sz="12" w:space="0"/>
                  </w:tcBorders>
                  <w:vAlign w:val="center"/>
                </w:tcPr>
                <w:p>
                  <w:pPr>
                    <w:jc w:val="center"/>
                    <w:rPr>
                      <w:bCs/>
                      <w:szCs w:val="21"/>
                    </w:rPr>
                  </w:pPr>
                  <w:r>
                    <w:rPr>
                      <w:rFonts w:hint="eastAsia"/>
                      <w:bCs/>
                      <w:szCs w:val="21"/>
                    </w:rPr>
                    <w:t>0.0591</w:t>
                  </w:r>
                </w:p>
              </w:tc>
            </w:tr>
          </w:tbl>
          <w:p>
            <w:pPr>
              <w:spacing w:line="360" w:lineRule="auto"/>
              <w:rPr>
                <w:bCs/>
                <w:sz w:val="24"/>
              </w:rPr>
            </w:pPr>
            <w:r>
              <w:rPr>
                <w:rFonts w:hint="eastAsia"/>
                <w:bCs/>
                <w:sz w:val="24"/>
              </w:rPr>
              <w:t>（</w:t>
            </w:r>
            <w:r>
              <w:rPr>
                <w:bCs/>
                <w:sz w:val="24"/>
              </w:rPr>
              <w:t>1</w:t>
            </w:r>
            <w:r>
              <w:rPr>
                <w:rFonts w:hint="eastAsia"/>
                <w:bCs/>
                <w:sz w:val="24"/>
              </w:rPr>
              <w:t>）工频电场强度：</w:t>
            </w:r>
          </w:p>
          <w:p>
            <w:pPr>
              <w:spacing w:line="360" w:lineRule="auto"/>
              <w:ind w:firstLine="480" w:firstLineChars="200"/>
              <w:rPr>
                <w:b/>
                <w:bCs/>
                <w:sz w:val="24"/>
                <w:szCs w:val="24"/>
              </w:rPr>
            </w:pPr>
            <w:r>
              <w:rPr>
                <w:rFonts w:hint="eastAsia"/>
                <w:bCs/>
                <w:sz w:val="24"/>
              </w:rPr>
              <w:t>根据上表监测数据，本次验收的</w:t>
            </w:r>
            <w:r>
              <w:rPr>
                <w:rFonts w:hint="eastAsia" w:ascii="宋体" w:hAnsi="宋体" w:cs="宋体"/>
                <w:bCs/>
                <w:sz w:val="24"/>
              </w:rPr>
              <w:t>“</w:t>
            </w:r>
            <w:r>
              <w:rPr>
                <w:rFonts w:hint="eastAsia"/>
                <w:bCs/>
                <w:sz w:val="24"/>
                <w:szCs w:val="24"/>
              </w:rPr>
              <w:t>龙安35 kV变电站灾后恢复重建改造工程</w:t>
            </w:r>
            <w:r>
              <w:rPr>
                <w:rFonts w:ascii="宋体" w:hAnsi="宋体" w:cs="宋体"/>
                <w:bCs/>
                <w:sz w:val="24"/>
              </w:rPr>
              <w:t>”</w:t>
            </w:r>
            <w:r>
              <w:rPr>
                <w:rFonts w:hint="eastAsia"/>
                <w:bCs/>
                <w:sz w:val="24"/>
              </w:rPr>
              <w:t>项目变电站站界四周及距离变电站较近的敏感点的工频电场强度满足</w:t>
            </w:r>
            <w:r>
              <w:rPr>
                <w:rFonts w:hint="eastAsia"/>
                <w:sz w:val="24"/>
              </w:rPr>
              <w:t>《电磁环境控制限值》（GB8702-2014）的</w:t>
            </w:r>
            <w:r>
              <w:rPr>
                <w:sz w:val="24"/>
              </w:rPr>
              <w:t>4000V/m</w:t>
            </w:r>
            <w:r>
              <w:rPr>
                <w:rFonts w:hint="eastAsia"/>
                <w:sz w:val="24"/>
              </w:rPr>
              <w:t>的限值要求。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90" w:hRule="atLeast"/>
        </w:trPr>
        <w:tc>
          <w:tcPr>
            <w:tcW w:w="644" w:type="dxa"/>
            <w:tcBorders>
              <w:top w:val="single" w:color="auto" w:sz="12" w:space="0"/>
              <w:left w:val="single" w:color="auto" w:sz="12" w:space="0"/>
              <w:bottom w:val="single" w:color="auto" w:sz="8" w:space="0"/>
              <w:right w:val="single" w:color="auto" w:sz="12" w:space="0"/>
            </w:tcBorders>
            <w:vAlign w:val="center"/>
          </w:tcPr>
          <w:p>
            <w:pPr>
              <w:spacing w:line="400" w:lineRule="exact"/>
              <w:jc w:val="center"/>
              <w:rPr>
                <w:rFonts w:ascii="宋体" w:hAnsi="宋体" w:cs="宋体"/>
                <w:b/>
                <w:sz w:val="24"/>
                <w:szCs w:val="24"/>
              </w:rPr>
            </w:pPr>
            <w:r>
              <w:rPr>
                <w:rFonts w:hint="eastAsia" w:ascii="宋体" w:hAnsi="宋体" w:cs="宋体"/>
                <w:b/>
                <w:sz w:val="24"/>
                <w:szCs w:val="24"/>
              </w:rPr>
              <w:t>电</w:t>
            </w:r>
          </w:p>
          <w:p>
            <w:pPr>
              <w:spacing w:line="400" w:lineRule="exact"/>
              <w:jc w:val="center"/>
              <w:rPr>
                <w:rFonts w:ascii="宋体" w:hAnsi="宋体" w:cs="宋体"/>
                <w:b/>
                <w:sz w:val="24"/>
                <w:szCs w:val="24"/>
              </w:rPr>
            </w:pPr>
            <w:r>
              <w:rPr>
                <w:rFonts w:hint="eastAsia" w:ascii="宋体" w:hAnsi="宋体" w:cs="宋体"/>
                <w:b/>
                <w:sz w:val="24"/>
                <w:szCs w:val="24"/>
              </w:rPr>
              <w:t>磁</w:t>
            </w:r>
          </w:p>
          <w:p>
            <w:pPr>
              <w:spacing w:line="400" w:lineRule="exact"/>
              <w:jc w:val="center"/>
              <w:rPr>
                <w:rFonts w:ascii="宋体" w:hAnsi="宋体" w:cs="宋体"/>
                <w:b/>
                <w:sz w:val="24"/>
                <w:szCs w:val="24"/>
              </w:rPr>
            </w:pPr>
            <w:r>
              <w:rPr>
                <w:rFonts w:hint="eastAsia" w:ascii="宋体" w:hAnsi="宋体" w:cs="宋体"/>
                <w:b/>
                <w:sz w:val="24"/>
                <w:szCs w:val="24"/>
              </w:rPr>
              <w:t>环</w:t>
            </w:r>
          </w:p>
          <w:p>
            <w:pPr>
              <w:spacing w:line="400" w:lineRule="exact"/>
              <w:jc w:val="center"/>
              <w:rPr>
                <w:rFonts w:ascii="宋体" w:hAnsi="宋体" w:cs="宋体"/>
                <w:b/>
                <w:sz w:val="24"/>
                <w:szCs w:val="24"/>
              </w:rPr>
            </w:pPr>
            <w:r>
              <w:rPr>
                <w:rFonts w:hint="eastAsia" w:ascii="宋体" w:hAnsi="宋体" w:cs="宋体"/>
                <w:b/>
                <w:sz w:val="24"/>
                <w:szCs w:val="24"/>
              </w:rPr>
              <w:t>境</w:t>
            </w:r>
          </w:p>
          <w:p>
            <w:pPr>
              <w:spacing w:line="400" w:lineRule="exact"/>
              <w:jc w:val="center"/>
              <w:rPr>
                <w:rFonts w:ascii="宋体" w:hAnsi="宋体" w:cs="宋体"/>
                <w:b/>
                <w:sz w:val="24"/>
                <w:szCs w:val="24"/>
              </w:rPr>
            </w:pPr>
            <w:r>
              <w:rPr>
                <w:rFonts w:hint="eastAsia" w:ascii="宋体" w:hAnsi="宋体" w:cs="宋体"/>
                <w:b/>
                <w:sz w:val="24"/>
                <w:szCs w:val="24"/>
              </w:rPr>
              <w:t>监</w:t>
            </w:r>
          </w:p>
          <w:p>
            <w:pPr>
              <w:spacing w:line="400" w:lineRule="exact"/>
              <w:jc w:val="center"/>
              <w:rPr>
                <w:rFonts w:ascii="宋体" w:hAnsi="宋体" w:cs="宋体"/>
                <w:b/>
                <w:sz w:val="24"/>
                <w:szCs w:val="24"/>
              </w:rPr>
            </w:pPr>
            <w:r>
              <w:rPr>
                <w:rFonts w:hint="eastAsia" w:ascii="宋体" w:hAnsi="宋体" w:cs="宋体"/>
                <w:b/>
                <w:sz w:val="24"/>
                <w:szCs w:val="24"/>
              </w:rPr>
              <w:t>测</w:t>
            </w:r>
          </w:p>
        </w:tc>
        <w:tc>
          <w:tcPr>
            <w:tcW w:w="8460" w:type="dxa"/>
            <w:tcBorders>
              <w:top w:val="single" w:color="auto" w:sz="12" w:space="0"/>
              <w:left w:val="single" w:color="auto" w:sz="12" w:space="0"/>
              <w:bottom w:val="single" w:color="auto" w:sz="8" w:space="0"/>
              <w:right w:val="single" w:color="auto" w:sz="12" w:space="0"/>
            </w:tcBorders>
          </w:tcPr>
          <w:p>
            <w:pPr>
              <w:spacing w:line="360" w:lineRule="auto"/>
              <w:rPr>
                <w:bCs/>
                <w:sz w:val="24"/>
              </w:rPr>
            </w:pPr>
            <w:r>
              <w:rPr>
                <w:bCs/>
                <w:sz w:val="24"/>
              </w:rPr>
              <w:t>（2）</w:t>
            </w:r>
            <w:r>
              <w:rPr>
                <w:rFonts w:hint="eastAsia"/>
                <w:bCs/>
                <w:sz w:val="24"/>
              </w:rPr>
              <w:t>工频磁感应强度：</w:t>
            </w:r>
          </w:p>
          <w:p>
            <w:pPr>
              <w:spacing w:line="360" w:lineRule="auto"/>
              <w:ind w:firstLine="480" w:firstLineChars="200"/>
              <w:rPr>
                <w:sz w:val="24"/>
              </w:rPr>
            </w:pPr>
            <w:r>
              <w:rPr>
                <w:rFonts w:hint="eastAsia"/>
                <w:bCs/>
                <w:sz w:val="24"/>
              </w:rPr>
              <w:t>根据上表监测数据，本次验收的</w:t>
            </w:r>
            <w:r>
              <w:rPr>
                <w:rFonts w:hint="eastAsia" w:ascii="宋体" w:hAnsi="宋体" w:cs="宋体"/>
                <w:bCs/>
                <w:sz w:val="24"/>
              </w:rPr>
              <w:t>“</w:t>
            </w:r>
            <w:r>
              <w:rPr>
                <w:rFonts w:hint="eastAsia"/>
                <w:bCs/>
                <w:sz w:val="24"/>
                <w:szCs w:val="24"/>
              </w:rPr>
              <w:t>龙安35 kV变电站灾后恢复重建改造工程</w:t>
            </w:r>
            <w:r>
              <w:rPr>
                <w:rFonts w:ascii="宋体" w:hAnsi="宋体" w:cs="宋体"/>
                <w:bCs/>
                <w:sz w:val="24"/>
              </w:rPr>
              <w:t>”</w:t>
            </w:r>
            <w:r>
              <w:rPr>
                <w:rFonts w:hint="eastAsia"/>
                <w:bCs/>
                <w:sz w:val="24"/>
              </w:rPr>
              <w:t>项目各变电站站界四周及距离变电站较近的敏感点的工频磁感应强度按照电流比例关系修正后均满足</w:t>
            </w:r>
            <w:r>
              <w:rPr>
                <w:rFonts w:hint="eastAsia"/>
                <w:sz w:val="24"/>
              </w:rPr>
              <w:t>《电磁环境控制限值》（GB8702-2014）的</w:t>
            </w:r>
            <w:r>
              <w:rPr>
                <w:bCs/>
                <w:sz w:val="24"/>
                <w:szCs w:val="24"/>
              </w:rPr>
              <w:t>100μT</w:t>
            </w:r>
            <w:r>
              <w:rPr>
                <w:rFonts w:hint="eastAsia"/>
                <w:sz w:val="24"/>
              </w:rPr>
              <w:t>的限值要求。</w:t>
            </w:r>
          </w:p>
          <w:p>
            <w:pPr>
              <w:spacing w:line="360" w:lineRule="auto"/>
              <w:outlineLvl w:val="2"/>
              <w:rPr>
                <w:b/>
                <w:sz w:val="24"/>
              </w:rPr>
            </w:pPr>
            <w:r>
              <w:rPr>
                <w:rFonts w:hint="eastAsia"/>
                <w:b/>
                <w:sz w:val="24"/>
              </w:rPr>
              <w:t>7</w:t>
            </w:r>
            <w:r>
              <w:rPr>
                <w:b/>
                <w:sz w:val="24"/>
              </w:rPr>
              <w:t>.</w:t>
            </w:r>
            <w:r>
              <w:rPr>
                <w:rFonts w:hint="eastAsia"/>
                <w:b/>
                <w:sz w:val="24"/>
              </w:rPr>
              <w:t>5</w:t>
            </w:r>
            <w:r>
              <w:rPr>
                <w:b/>
                <w:sz w:val="24"/>
              </w:rPr>
              <w:t>.</w:t>
            </w:r>
            <w:r>
              <w:rPr>
                <w:rFonts w:hint="eastAsia"/>
                <w:b/>
                <w:sz w:val="24"/>
              </w:rPr>
              <w:t>2</w:t>
            </w:r>
            <w:r>
              <w:rPr>
                <w:rFonts w:hint="eastAsia"/>
                <w:b/>
                <w:bCs/>
                <w:sz w:val="24"/>
              </w:rPr>
              <w:t>工频电磁场现状监测结论</w:t>
            </w:r>
          </w:p>
          <w:p>
            <w:pPr>
              <w:spacing w:line="360" w:lineRule="auto"/>
              <w:ind w:firstLine="480" w:firstLineChars="200"/>
              <w:rPr>
                <w:sz w:val="24"/>
              </w:rPr>
            </w:pPr>
            <w:r>
              <w:rPr>
                <w:rFonts w:hint="eastAsia"/>
                <w:sz w:val="24"/>
              </w:rPr>
              <w:t>通过对工程涉及距离变电站较近的部分居民点进行监测，各监测点位的工频电磁场满足相应标准。</w:t>
            </w:r>
          </w:p>
          <w:p>
            <w:pPr>
              <w:spacing w:line="360" w:lineRule="auto"/>
              <w:ind w:firstLine="480" w:firstLineChars="200"/>
              <w:rPr>
                <w:bCs/>
                <w:color w:val="8DB3E2"/>
                <w:sz w:val="24"/>
              </w:rPr>
            </w:pPr>
            <w:bookmarkStart w:id="12" w:name="_Toc417390710"/>
            <w:r>
              <w:rPr>
                <w:rFonts w:hint="eastAsia"/>
                <w:sz w:val="24"/>
              </w:rPr>
              <w:t>本次验收的“</w:t>
            </w:r>
            <w:r>
              <w:rPr>
                <w:rFonts w:hint="eastAsia"/>
                <w:bCs/>
                <w:sz w:val="24"/>
                <w:szCs w:val="24"/>
              </w:rPr>
              <w:t>龙安35 kV变电站灾后恢复重建改造工程</w:t>
            </w:r>
            <w:r>
              <w:rPr>
                <w:rFonts w:hint="eastAsia"/>
                <w:sz w:val="24"/>
              </w:rPr>
              <w:t>”在竣工投运后，变电站产生的工频电场强度、工频磁感应强度均满足相应标准限值的要求</w:t>
            </w:r>
            <w:bookmarkEnd w:id="12"/>
            <w:r>
              <w:rPr>
                <w:rFonts w:hint="eastAsia"/>
                <w:sz w:val="24"/>
              </w:rPr>
              <w:t>。</w:t>
            </w:r>
          </w:p>
          <w:p>
            <w:pPr>
              <w:spacing w:line="360" w:lineRule="auto"/>
              <w:ind w:firstLine="480" w:firstLineChars="20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205" w:hRule="atLeast"/>
        </w:trPr>
        <w:tc>
          <w:tcPr>
            <w:tcW w:w="644" w:type="dxa"/>
            <w:tcBorders>
              <w:top w:val="single" w:color="auto" w:sz="8" w:space="0"/>
              <w:left w:val="single" w:color="auto" w:sz="12" w:space="0"/>
              <w:bottom w:val="single" w:color="auto" w:sz="12" w:space="0"/>
              <w:right w:val="single" w:color="auto" w:sz="12" w:space="0"/>
            </w:tcBorders>
            <w:vAlign w:val="center"/>
          </w:tcPr>
          <w:p>
            <w:pPr>
              <w:spacing w:line="400" w:lineRule="exact"/>
              <w:jc w:val="center"/>
              <w:rPr>
                <w:rFonts w:ascii="宋体" w:hAnsi="宋体" w:cs="宋体"/>
                <w:b/>
                <w:sz w:val="24"/>
                <w:szCs w:val="24"/>
              </w:rPr>
            </w:pPr>
            <w:r>
              <w:rPr>
                <w:rFonts w:hint="eastAsia" w:ascii="宋体" w:hAnsi="宋体" w:cs="宋体"/>
                <w:b/>
                <w:sz w:val="24"/>
                <w:szCs w:val="24"/>
              </w:rPr>
              <w:t>声</w:t>
            </w:r>
          </w:p>
          <w:p>
            <w:pPr>
              <w:spacing w:line="400" w:lineRule="exact"/>
              <w:jc w:val="center"/>
              <w:rPr>
                <w:rFonts w:ascii="宋体" w:hAnsi="宋体" w:cs="宋体"/>
                <w:b/>
                <w:sz w:val="24"/>
                <w:szCs w:val="24"/>
              </w:rPr>
            </w:pPr>
            <w:r>
              <w:rPr>
                <w:rFonts w:hint="eastAsia" w:ascii="宋体" w:hAnsi="宋体" w:cs="宋体"/>
                <w:b/>
                <w:sz w:val="24"/>
                <w:szCs w:val="24"/>
              </w:rPr>
              <w:t>环</w:t>
            </w:r>
          </w:p>
          <w:p>
            <w:pPr>
              <w:spacing w:line="400" w:lineRule="exact"/>
              <w:jc w:val="center"/>
              <w:rPr>
                <w:rFonts w:ascii="宋体" w:hAnsi="宋体" w:cs="宋体"/>
                <w:b/>
                <w:sz w:val="24"/>
                <w:szCs w:val="24"/>
              </w:rPr>
            </w:pPr>
            <w:r>
              <w:rPr>
                <w:rFonts w:hint="eastAsia" w:ascii="宋体" w:hAnsi="宋体" w:cs="宋体"/>
                <w:b/>
                <w:sz w:val="24"/>
                <w:szCs w:val="24"/>
              </w:rPr>
              <w:t>境</w:t>
            </w:r>
          </w:p>
          <w:p>
            <w:pPr>
              <w:spacing w:line="400" w:lineRule="exact"/>
              <w:jc w:val="center"/>
              <w:rPr>
                <w:rFonts w:ascii="宋体" w:hAnsi="宋体" w:cs="宋体"/>
                <w:b/>
                <w:sz w:val="24"/>
                <w:szCs w:val="24"/>
              </w:rPr>
            </w:pPr>
            <w:r>
              <w:rPr>
                <w:rFonts w:hint="eastAsia" w:ascii="宋体" w:hAnsi="宋体" w:cs="宋体"/>
                <w:b/>
                <w:sz w:val="24"/>
                <w:szCs w:val="24"/>
              </w:rPr>
              <w:t>监</w:t>
            </w:r>
          </w:p>
          <w:p>
            <w:pPr>
              <w:spacing w:line="400" w:lineRule="exact"/>
              <w:jc w:val="center"/>
              <w:rPr>
                <w:rFonts w:ascii="宋体" w:hAnsi="宋体" w:cs="宋体"/>
                <w:b/>
                <w:sz w:val="24"/>
                <w:szCs w:val="24"/>
              </w:rPr>
            </w:pPr>
            <w:r>
              <w:rPr>
                <w:rFonts w:hint="eastAsia" w:ascii="宋体" w:hAnsi="宋体" w:cs="宋体"/>
                <w:b/>
                <w:sz w:val="24"/>
                <w:szCs w:val="24"/>
              </w:rPr>
              <w:t>测</w:t>
            </w:r>
          </w:p>
        </w:tc>
        <w:tc>
          <w:tcPr>
            <w:tcW w:w="8460" w:type="dxa"/>
            <w:tcBorders>
              <w:top w:val="single" w:color="auto" w:sz="8" w:space="0"/>
              <w:left w:val="single" w:color="auto" w:sz="12" w:space="0"/>
              <w:bottom w:val="single" w:color="auto" w:sz="12" w:space="0"/>
              <w:right w:val="single" w:color="auto" w:sz="12" w:space="0"/>
            </w:tcBorders>
          </w:tcPr>
          <w:p>
            <w:pPr>
              <w:spacing w:line="360" w:lineRule="auto"/>
              <w:rPr>
                <w:b/>
                <w:bCs/>
                <w:sz w:val="24"/>
              </w:rPr>
            </w:pPr>
            <w:r>
              <w:rPr>
                <w:rFonts w:hint="eastAsia"/>
                <w:b/>
                <w:bCs/>
                <w:sz w:val="24"/>
              </w:rPr>
              <w:t>7.6监测因子及监测频次</w:t>
            </w:r>
          </w:p>
          <w:p>
            <w:pPr>
              <w:spacing w:line="360" w:lineRule="auto"/>
              <w:ind w:firstLine="480" w:firstLineChars="200"/>
              <w:rPr>
                <w:sz w:val="24"/>
              </w:rPr>
            </w:pPr>
            <w:r>
              <w:rPr>
                <w:rFonts w:hint="eastAsia"/>
                <w:sz w:val="24"/>
              </w:rPr>
              <w:t>根据对项目的工程分析、现场调查，得出本次验收监测因子和监测频次如下：</w:t>
            </w:r>
          </w:p>
          <w:p>
            <w:pPr>
              <w:spacing w:line="360" w:lineRule="auto"/>
              <w:ind w:firstLine="480" w:firstLineChars="200"/>
              <w:rPr>
                <w:sz w:val="24"/>
              </w:rPr>
            </w:pPr>
            <w:r>
              <w:rPr>
                <w:rFonts w:hint="eastAsia"/>
                <w:sz w:val="24"/>
              </w:rPr>
              <w:t>噪声：环境噪声或厂界噪声（监测2次，昼间和夜间分别监测一次）。</w:t>
            </w:r>
          </w:p>
          <w:p>
            <w:pPr>
              <w:spacing w:line="360" w:lineRule="auto"/>
              <w:rPr>
                <w:b/>
                <w:bCs/>
                <w:sz w:val="24"/>
              </w:rPr>
            </w:pPr>
            <w:r>
              <w:rPr>
                <w:rFonts w:hint="eastAsia"/>
                <w:b/>
                <w:bCs/>
                <w:sz w:val="24"/>
              </w:rPr>
              <w:t>7.7监测方法及监测布点</w:t>
            </w:r>
          </w:p>
          <w:p>
            <w:pPr>
              <w:spacing w:line="336" w:lineRule="auto"/>
              <w:outlineLvl w:val="1"/>
              <w:rPr>
                <w:sz w:val="24"/>
                <w:szCs w:val="24"/>
              </w:rPr>
            </w:pPr>
            <w:bookmarkStart w:id="13" w:name="_Toc417390711"/>
            <w:bookmarkStart w:id="14" w:name="_Toc455152067"/>
            <w:bookmarkStart w:id="15" w:name="_Toc483476029"/>
            <w:r>
              <w:rPr>
                <w:rFonts w:hint="eastAsia"/>
                <w:b/>
                <w:bCs/>
                <w:sz w:val="24"/>
                <w:szCs w:val="24"/>
              </w:rPr>
              <w:t>1、监测分析方法</w:t>
            </w:r>
            <w:bookmarkEnd w:id="13"/>
            <w:bookmarkEnd w:id="14"/>
            <w:bookmarkEnd w:id="15"/>
          </w:p>
          <w:p>
            <w:pPr>
              <w:spacing w:line="336" w:lineRule="auto"/>
              <w:rPr>
                <w:spacing w:val="-10"/>
                <w:sz w:val="24"/>
              </w:rPr>
            </w:pPr>
            <w:r>
              <w:rPr>
                <w:rFonts w:hint="eastAsia"/>
                <w:sz w:val="24"/>
              </w:rPr>
              <w:t xml:space="preserve">   验收监测严格执行国家及行业标准监测分析方法，执行监测标准及规范如下：</w:t>
            </w:r>
          </w:p>
          <w:p>
            <w:pPr>
              <w:spacing w:line="336" w:lineRule="auto"/>
              <w:ind w:firstLine="442" w:firstLineChars="200"/>
              <w:jc w:val="left"/>
              <w:rPr>
                <w:b/>
                <w:spacing w:val="-10"/>
                <w:sz w:val="24"/>
              </w:rPr>
            </w:pPr>
            <w:r>
              <w:rPr>
                <w:rFonts w:hint="eastAsia"/>
                <w:b/>
                <w:spacing w:val="-10"/>
                <w:sz w:val="24"/>
              </w:rPr>
              <w:t>噪声：</w:t>
            </w:r>
          </w:p>
          <w:p>
            <w:pPr>
              <w:spacing w:line="336" w:lineRule="auto"/>
              <w:ind w:firstLine="440" w:firstLineChars="200"/>
              <w:jc w:val="left"/>
              <w:rPr>
                <w:sz w:val="24"/>
              </w:rPr>
            </w:pPr>
            <w:r>
              <w:rPr>
                <w:rFonts w:hint="eastAsia"/>
                <w:spacing w:val="-10"/>
                <w:sz w:val="24"/>
              </w:rPr>
              <w:t>《工业企业厂界环境噪声排放标准》（</w:t>
            </w:r>
            <w:r>
              <w:rPr>
                <w:sz w:val="24"/>
              </w:rPr>
              <w:t>GB12348-2008</w:t>
            </w:r>
            <w:r>
              <w:rPr>
                <w:rFonts w:hint="eastAsia"/>
                <w:sz w:val="24"/>
              </w:rPr>
              <w:t>）；</w:t>
            </w:r>
          </w:p>
          <w:p>
            <w:pPr>
              <w:spacing w:line="360" w:lineRule="auto"/>
              <w:ind w:firstLine="480" w:firstLineChars="200"/>
              <w:rPr>
                <w:spacing w:val="-10"/>
                <w:sz w:val="24"/>
              </w:rPr>
            </w:pPr>
            <w:r>
              <w:rPr>
                <w:rFonts w:hint="eastAsia"/>
                <w:sz w:val="24"/>
              </w:rPr>
              <w:t>《声环境质量标准》（</w:t>
            </w:r>
            <w:r>
              <w:rPr>
                <w:sz w:val="24"/>
              </w:rPr>
              <w:t>GB 3096-2008</w:t>
            </w:r>
            <w:r>
              <w:rPr>
                <w:rFonts w:hint="eastAsia"/>
                <w:sz w:val="24"/>
              </w:rPr>
              <w:t>）</w:t>
            </w:r>
            <w:r>
              <w:rPr>
                <w:rFonts w:hint="eastAsia"/>
                <w:spacing w:val="-10"/>
                <w:sz w:val="24"/>
              </w:rPr>
              <w:t>。</w:t>
            </w:r>
          </w:p>
          <w:p>
            <w:pPr>
              <w:spacing w:line="360" w:lineRule="auto"/>
              <w:rPr>
                <w:b/>
                <w:bCs/>
                <w:sz w:val="24"/>
              </w:rPr>
            </w:pPr>
            <w:r>
              <w:rPr>
                <w:rFonts w:hint="eastAsia"/>
                <w:b/>
                <w:bCs/>
                <w:sz w:val="24"/>
              </w:rPr>
              <w:t>2、噪声现状监测布点</w:t>
            </w:r>
          </w:p>
          <w:p>
            <w:pPr>
              <w:spacing w:line="360" w:lineRule="auto"/>
              <w:ind w:firstLine="480" w:firstLineChars="200"/>
              <w:rPr>
                <w:sz w:val="24"/>
              </w:rPr>
            </w:pPr>
            <w:r>
              <w:rPr>
                <w:rFonts w:hint="eastAsia"/>
                <w:sz w:val="24"/>
              </w:rPr>
              <w:t>变电站：当厂界有围墙且周围有受影响的噪声敏感建筑物时，具体位置取围墙外1m且高于围墙0.5m以上的位置。</w:t>
            </w:r>
          </w:p>
          <w:p>
            <w:pPr>
              <w:spacing w:line="360" w:lineRule="auto"/>
              <w:ind w:firstLine="480" w:firstLineChars="200"/>
              <w:rPr>
                <w:sz w:val="24"/>
              </w:rPr>
            </w:pPr>
            <w:r>
              <w:rPr>
                <w:rFonts w:hint="eastAsia"/>
                <w:sz w:val="24"/>
              </w:rPr>
              <w:t>敏感点：主要考虑变电站站界四周距离较近的民房，监测点位布置在居民建筑物外，距墙壁或窗户1m处，距地面高度1.2m以上。</w:t>
            </w:r>
          </w:p>
          <w:p>
            <w:pPr>
              <w:spacing w:line="360" w:lineRule="auto"/>
              <w:ind w:firstLine="440" w:firstLineChars="200"/>
              <w:rPr>
                <w:spacing w:val="-10"/>
                <w:sz w:val="24"/>
              </w:rPr>
            </w:pPr>
          </w:p>
        </w:tc>
      </w:tr>
    </w:tbl>
    <w:p>
      <w:pPr>
        <w:rPr>
          <w:b/>
          <w:sz w:val="32"/>
          <w:szCs w:val="32"/>
        </w:rPr>
        <w:sectPr>
          <w:pgSz w:w="11906" w:h="16838"/>
          <w:pgMar w:top="1440" w:right="1800" w:bottom="1440" w:left="1800" w:header="851" w:footer="992" w:gutter="0"/>
          <w:cols w:space="720" w:num="1"/>
          <w:docGrid w:type="lines" w:linePitch="312" w:charSpace="0"/>
        </w:sectPr>
      </w:pPr>
    </w:p>
    <w:tbl>
      <w:tblPr>
        <w:tblStyle w:val="17"/>
        <w:tblW w:w="908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579" w:hRule="atLeast"/>
        </w:trPr>
        <w:tc>
          <w:tcPr>
            <w:tcW w:w="644" w:type="dxa"/>
            <w:tcBorders>
              <w:top w:val="single" w:color="auto" w:sz="12" w:space="0"/>
              <w:left w:val="single" w:color="auto" w:sz="12" w:space="0"/>
              <w:bottom w:val="single" w:color="auto" w:sz="12" w:space="0"/>
              <w:right w:val="single" w:color="auto" w:sz="12" w:space="0"/>
            </w:tcBorders>
            <w:vAlign w:val="center"/>
          </w:tcPr>
          <w:p>
            <w:pPr>
              <w:spacing w:line="400" w:lineRule="exact"/>
              <w:jc w:val="center"/>
              <w:rPr>
                <w:rFonts w:ascii="宋体" w:hAnsi="宋体" w:cs="宋体"/>
                <w:b/>
                <w:sz w:val="24"/>
                <w:szCs w:val="24"/>
              </w:rPr>
            </w:pPr>
            <w:r>
              <w:rPr>
                <w:rFonts w:hint="eastAsia" w:ascii="宋体" w:hAnsi="宋体" w:cs="宋体"/>
                <w:b/>
                <w:sz w:val="24"/>
                <w:szCs w:val="24"/>
              </w:rPr>
              <w:t>声</w:t>
            </w:r>
          </w:p>
          <w:p>
            <w:pPr>
              <w:spacing w:line="400" w:lineRule="exact"/>
              <w:jc w:val="center"/>
              <w:rPr>
                <w:rFonts w:ascii="宋体" w:hAnsi="宋体" w:cs="宋体"/>
                <w:b/>
                <w:sz w:val="24"/>
                <w:szCs w:val="24"/>
              </w:rPr>
            </w:pPr>
            <w:r>
              <w:rPr>
                <w:rFonts w:hint="eastAsia" w:ascii="宋体" w:hAnsi="宋体" w:cs="宋体"/>
                <w:b/>
                <w:sz w:val="24"/>
                <w:szCs w:val="24"/>
              </w:rPr>
              <w:t>环</w:t>
            </w:r>
          </w:p>
          <w:p>
            <w:pPr>
              <w:spacing w:line="400" w:lineRule="exact"/>
              <w:jc w:val="center"/>
              <w:rPr>
                <w:rFonts w:ascii="宋体" w:hAnsi="宋体" w:cs="宋体"/>
                <w:b/>
                <w:sz w:val="24"/>
                <w:szCs w:val="24"/>
              </w:rPr>
            </w:pPr>
            <w:r>
              <w:rPr>
                <w:rFonts w:hint="eastAsia" w:ascii="宋体" w:hAnsi="宋体" w:cs="宋体"/>
                <w:b/>
                <w:sz w:val="24"/>
                <w:szCs w:val="24"/>
              </w:rPr>
              <w:t>境</w:t>
            </w:r>
          </w:p>
          <w:p>
            <w:pPr>
              <w:spacing w:line="400" w:lineRule="exact"/>
              <w:jc w:val="center"/>
              <w:rPr>
                <w:rFonts w:ascii="宋体" w:hAnsi="宋体" w:cs="宋体"/>
                <w:b/>
                <w:sz w:val="24"/>
                <w:szCs w:val="24"/>
              </w:rPr>
            </w:pPr>
            <w:r>
              <w:rPr>
                <w:rFonts w:hint="eastAsia" w:ascii="宋体" w:hAnsi="宋体" w:cs="宋体"/>
                <w:b/>
                <w:sz w:val="24"/>
                <w:szCs w:val="24"/>
              </w:rPr>
              <w:t>监</w:t>
            </w:r>
          </w:p>
          <w:p>
            <w:pPr>
              <w:spacing w:line="400" w:lineRule="exact"/>
              <w:jc w:val="center"/>
              <w:rPr>
                <w:rFonts w:ascii="宋体" w:hAnsi="宋体" w:cs="宋体"/>
                <w:b/>
                <w:sz w:val="24"/>
                <w:szCs w:val="24"/>
              </w:rPr>
            </w:pPr>
            <w:r>
              <w:rPr>
                <w:rFonts w:hint="eastAsia" w:ascii="宋体" w:hAnsi="宋体" w:cs="宋体"/>
                <w:b/>
                <w:sz w:val="24"/>
                <w:szCs w:val="24"/>
              </w:rPr>
              <w:t>测</w:t>
            </w:r>
          </w:p>
        </w:tc>
        <w:tc>
          <w:tcPr>
            <w:tcW w:w="8445" w:type="dxa"/>
            <w:tcBorders>
              <w:top w:val="single" w:color="auto" w:sz="12" w:space="0"/>
              <w:left w:val="single" w:color="auto" w:sz="12" w:space="0"/>
              <w:bottom w:val="single" w:color="auto" w:sz="12" w:space="0"/>
              <w:right w:val="single" w:color="auto" w:sz="12" w:space="0"/>
            </w:tcBorders>
          </w:tcPr>
          <w:p>
            <w:pPr>
              <w:spacing w:line="360" w:lineRule="auto"/>
              <w:rPr>
                <w:b/>
                <w:bCs/>
                <w:color w:val="C00000"/>
                <w:sz w:val="24"/>
                <w:szCs w:val="24"/>
              </w:rPr>
            </w:pPr>
            <w:r>
              <w:rPr>
                <w:rFonts w:hint="eastAsia"/>
                <w:b/>
                <w:bCs/>
                <w:sz w:val="24"/>
              </w:rPr>
              <w:t>7.8</w:t>
            </w:r>
            <w:r>
              <w:rPr>
                <w:rFonts w:hint="eastAsia"/>
                <w:b/>
                <w:bCs/>
                <w:sz w:val="24"/>
                <w:szCs w:val="24"/>
              </w:rPr>
              <w:t>监测单位、监测时间、监测环境条件</w:t>
            </w:r>
          </w:p>
          <w:p>
            <w:pPr>
              <w:spacing w:line="360" w:lineRule="auto"/>
              <w:ind w:firstLine="472" w:firstLineChars="196"/>
              <w:rPr>
                <w:b/>
                <w:bCs/>
                <w:sz w:val="24"/>
                <w:szCs w:val="24"/>
              </w:rPr>
            </w:pPr>
            <w:r>
              <w:rPr>
                <w:rFonts w:hint="eastAsia"/>
                <w:b/>
                <w:bCs/>
                <w:sz w:val="24"/>
                <w:szCs w:val="24"/>
              </w:rPr>
              <w:t>1、监测单位：</w:t>
            </w:r>
            <w:r>
              <w:rPr>
                <w:rFonts w:hint="eastAsia"/>
                <w:sz w:val="24"/>
              </w:rPr>
              <w:t>四川省辐射环境管理监测中心站</w:t>
            </w:r>
          </w:p>
          <w:p>
            <w:pPr>
              <w:spacing w:line="360" w:lineRule="auto"/>
              <w:ind w:firstLine="472" w:firstLineChars="196"/>
              <w:rPr>
                <w:sz w:val="24"/>
              </w:rPr>
            </w:pPr>
            <w:r>
              <w:rPr>
                <w:rFonts w:hint="eastAsia"/>
                <w:b/>
                <w:bCs/>
                <w:sz w:val="24"/>
                <w:szCs w:val="24"/>
              </w:rPr>
              <w:t>2、监测时间：</w:t>
            </w:r>
            <w:r>
              <w:rPr>
                <w:sz w:val="24"/>
              </w:rPr>
              <w:t>201</w:t>
            </w:r>
            <w:r>
              <w:rPr>
                <w:rFonts w:hint="eastAsia"/>
                <w:sz w:val="24"/>
              </w:rPr>
              <w:t>8</w:t>
            </w:r>
            <w:r>
              <w:rPr>
                <w:sz w:val="24"/>
              </w:rPr>
              <w:t>年</w:t>
            </w:r>
            <w:r>
              <w:rPr>
                <w:rFonts w:hint="eastAsia"/>
                <w:bCs/>
                <w:sz w:val="24"/>
              </w:rPr>
              <w:t>5月23日</w:t>
            </w:r>
            <w:r>
              <w:rPr>
                <w:bCs/>
                <w:sz w:val="24"/>
              </w:rPr>
              <w:t>昼间10：00-1</w:t>
            </w:r>
            <w:r>
              <w:rPr>
                <w:rFonts w:hint="eastAsia"/>
                <w:bCs/>
                <w:sz w:val="24"/>
              </w:rPr>
              <w:t>1</w:t>
            </w:r>
            <w:r>
              <w:rPr>
                <w:bCs/>
                <w:sz w:val="24"/>
              </w:rPr>
              <w:t>：</w:t>
            </w:r>
            <w:r>
              <w:rPr>
                <w:rFonts w:hint="eastAsia"/>
                <w:bCs/>
                <w:sz w:val="24"/>
              </w:rPr>
              <w:t>3</w:t>
            </w:r>
            <w:r>
              <w:rPr>
                <w:bCs/>
                <w:sz w:val="24"/>
              </w:rPr>
              <w:t>0 夜间23：00-23：30</w:t>
            </w:r>
          </w:p>
          <w:p>
            <w:pPr>
              <w:spacing w:line="360" w:lineRule="auto"/>
              <w:ind w:firstLine="472" w:firstLineChars="196"/>
              <w:rPr>
                <w:b/>
                <w:bCs/>
                <w:sz w:val="24"/>
                <w:szCs w:val="24"/>
              </w:rPr>
            </w:pPr>
            <w:r>
              <w:rPr>
                <w:rFonts w:hint="eastAsia"/>
                <w:b/>
                <w:bCs/>
                <w:sz w:val="24"/>
                <w:szCs w:val="24"/>
              </w:rPr>
              <w:t>3、监测环境条件：</w:t>
            </w:r>
          </w:p>
          <w:p>
            <w:pPr>
              <w:spacing w:line="360" w:lineRule="auto"/>
              <w:ind w:firstLine="480" w:firstLineChars="200"/>
              <w:rPr>
                <w:sz w:val="24"/>
              </w:rPr>
            </w:pPr>
            <w:r>
              <w:rPr>
                <w:rFonts w:hint="eastAsia"/>
                <w:sz w:val="24"/>
              </w:rPr>
              <w:t>气候条件：</w:t>
            </w:r>
            <w:r>
              <w:rPr>
                <w:rFonts w:hint="eastAsia"/>
                <w:bCs/>
                <w:sz w:val="24"/>
              </w:rPr>
              <w:t>环境温度：</w:t>
            </w:r>
            <w:r>
              <w:rPr>
                <w:bCs/>
                <w:sz w:val="24"/>
              </w:rPr>
              <w:t>27.</w:t>
            </w:r>
            <w:r>
              <w:rPr>
                <w:rFonts w:hint="eastAsia"/>
                <w:bCs/>
                <w:sz w:val="24"/>
              </w:rPr>
              <w:t>1</w:t>
            </w:r>
            <w:r>
              <w:rPr>
                <w:bCs/>
                <w:sz w:val="24"/>
              </w:rPr>
              <w:t>~</w:t>
            </w:r>
            <w:r>
              <w:rPr>
                <w:rFonts w:hint="eastAsia"/>
                <w:bCs/>
                <w:sz w:val="24"/>
              </w:rPr>
              <w:t>28.3</w:t>
            </w:r>
            <w:r>
              <w:rPr>
                <w:rFonts w:hint="eastAsia" w:ascii="宋体" w:hAnsi="宋体" w:cs="宋体"/>
                <w:bCs/>
                <w:sz w:val="24"/>
              </w:rPr>
              <w:t>℃</w:t>
            </w:r>
            <w:r>
              <w:rPr>
                <w:rFonts w:hint="eastAsia"/>
                <w:bCs/>
                <w:sz w:val="24"/>
              </w:rPr>
              <w:t>；环境湿度</w:t>
            </w:r>
            <w:r>
              <w:rPr>
                <w:bCs/>
                <w:sz w:val="24"/>
              </w:rPr>
              <w:t>：</w:t>
            </w:r>
            <w:r>
              <w:rPr>
                <w:rFonts w:hint="eastAsia"/>
                <w:bCs/>
                <w:sz w:val="24"/>
              </w:rPr>
              <w:t>22</w:t>
            </w:r>
            <w:r>
              <w:rPr>
                <w:bCs/>
                <w:sz w:val="24"/>
              </w:rPr>
              <w:t>.</w:t>
            </w:r>
            <w:r>
              <w:rPr>
                <w:rFonts w:hint="eastAsia"/>
                <w:bCs/>
                <w:sz w:val="24"/>
              </w:rPr>
              <w:t>7</w:t>
            </w:r>
            <w:r>
              <w:rPr>
                <w:bCs/>
                <w:sz w:val="24"/>
              </w:rPr>
              <w:t>~</w:t>
            </w:r>
            <w:r>
              <w:rPr>
                <w:rFonts w:hint="eastAsia"/>
                <w:bCs/>
                <w:sz w:val="24"/>
              </w:rPr>
              <w:t>23</w:t>
            </w:r>
            <w:r>
              <w:rPr>
                <w:bCs/>
                <w:sz w:val="24"/>
              </w:rPr>
              <w:t>.1％</w:t>
            </w:r>
            <w:r>
              <w:rPr>
                <w:rFonts w:hint="eastAsia"/>
                <w:bCs/>
                <w:sz w:val="24"/>
              </w:rPr>
              <w:t>；天气状况：阴；风速0.8~1.0m/s</w:t>
            </w:r>
            <w:r>
              <w:rPr>
                <w:rFonts w:hint="eastAsia"/>
                <w:sz w:val="24"/>
              </w:rPr>
              <w:t xml:space="preserve">； </w:t>
            </w:r>
          </w:p>
          <w:p>
            <w:pPr>
              <w:spacing w:line="360" w:lineRule="auto"/>
              <w:rPr>
                <w:sz w:val="24"/>
              </w:rPr>
            </w:pPr>
            <w:r>
              <w:rPr>
                <w:rFonts w:hint="eastAsia"/>
                <w:b/>
                <w:bCs/>
                <w:sz w:val="24"/>
                <w:szCs w:val="24"/>
              </w:rPr>
              <w:t>7.9监测仪器</w:t>
            </w:r>
          </w:p>
          <w:p>
            <w:pPr>
              <w:spacing w:line="360" w:lineRule="auto"/>
              <w:ind w:firstLine="480" w:firstLineChars="200"/>
              <w:rPr>
                <w:sz w:val="24"/>
              </w:rPr>
            </w:pPr>
            <w:r>
              <w:rPr>
                <w:rFonts w:hint="eastAsia"/>
                <w:sz w:val="24"/>
              </w:rPr>
              <w:t xml:space="preserve">监测选用主要设备见表7-4： </w:t>
            </w:r>
          </w:p>
          <w:p>
            <w:pPr>
              <w:spacing w:line="360" w:lineRule="auto"/>
              <w:rPr>
                <w:b/>
                <w:sz w:val="24"/>
              </w:rPr>
            </w:pPr>
            <w:r>
              <w:rPr>
                <w:rFonts w:hint="eastAsia"/>
                <w:b/>
                <w:sz w:val="24"/>
              </w:rPr>
              <w:t>表7</w:t>
            </w:r>
            <w:r>
              <w:rPr>
                <w:b/>
                <w:sz w:val="24"/>
              </w:rPr>
              <w:t>-</w:t>
            </w:r>
            <w:r>
              <w:rPr>
                <w:rFonts w:hint="eastAsia"/>
                <w:b/>
                <w:sz w:val="24"/>
              </w:rPr>
              <w:t>4                监测仪器一览表</w:t>
            </w:r>
          </w:p>
          <w:tbl>
            <w:tblPr>
              <w:tblStyle w:val="17"/>
              <w:tblW w:w="78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318"/>
              <w:gridCol w:w="1318"/>
              <w:gridCol w:w="1318"/>
              <w:gridCol w:w="1446"/>
              <w:gridCol w:w="1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7" w:type="dxa"/>
                  <w:tcBorders>
                    <w:top w:val="single" w:color="auto" w:sz="12" w:space="0"/>
                    <w:left w:val="single" w:color="auto" w:sz="2" w:space="0"/>
                    <w:bottom w:val="single" w:color="auto" w:sz="12" w:space="0"/>
                    <w:right w:val="single" w:color="auto" w:sz="2" w:space="0"/>
                  </w:tcBorders>
                  <w:vAlign w:val="center"/>
                </w:tcPr>
                <w:p>
                  <w:pPr>
                    <w:jc w:val="center"/>
                    <w:rPr>
                      <w:sz w:val="24"/>
                    </w:rPr>
                  </w:pPr>
                  <w:r>
                    <w:rPr>
                      <w:rFonts w:hint="eastAsia"/>
                      <w:sz w:val="18"/>
                      <w:szCs w:val="18"/>
                    </w:rPr>
                    <w:t>监测项目</w:t>
                  </w:r>
                </w:p>
              </w:tc>
              <w:tc>
                <w:tcPr>
                  <w:tcW w:w="1318" w:type="dxa"/>
                  <w:tcBorders>
                    <w:top w:val="single" w:color="auto" w:sz="12" w:space="0"/>
                    <w:left w:val="single" w:color="auto" w:sz="2" w:space="0"/>
                    <w:bottom w:val="single" w:color="auto" w:sz="12" w:space="0"/>
                    <w:right w:val="single" w:color="auto" w:sz="2" w:space="0"/>
                  </w:tcBorders>
                  <w:vAlign w:val="center"/>
                </w:tcPr>
                <w:p>
                  <w:pPr>
                    <w:jc w:val="center"/>
                    <w:rPr>
                      <w:sz w:val="24"/>
                    </w:rPr>
                  </w:pPr>
                  <w:r>
                    <w:rPr>
                      <w:sz w:val="18"/>
                      <w:szCs w:val="18"/>
                    </w:rPr>
                    <w:t>仪器名称</w:t>
                  </w:r>
                </w:p>
              </w:tc>
              <w:tc>
                <w:tcPr>
                  <w:tcW w:w="1318" w:type="dxa"/>
                  <w:tcBorders>
                    <w:top w:val="single" w:color="auto" w:sz="12" w:space="0"/>
                    <w:left w:val="single" w:color="auto" w:sz="2" w:space="0"/>
                    <w:bottom w:val="single" w:color="auto" w:sz="12" w:space="0"/>
                    <w:right w:val="single" w:color="auto" w:sz="2" w:space="0"/>
                  </w:tcBorders>
                  <w:vAlign w:val="center"/>
                </w:tcPr>
                <w:p>
                  <w:pPr>
                    <w:jc w:val="center"/>
                    <w:rPr>
                      <w:sz w:val="24"/>
                    </w:rPr>
                  </w:pPr>
                  <w:r>
                    <w:rPr>
                      <w:rFonts w:hint="eastAsia"/>
                      <w:sz w:val="18"/>
                      <w:szCs w:val="18"/>
                    </w:rPr>
                    <w:t>检出下限</w:t>
                  </w:r>
                </w:p>
              </w:tc>
              <w:tc>
                <w:tcPr>
                  <w:tcW w:w="1318" w:type="dxa"/>
                  <w:tcBorders>
                    <w:top w:val="single" w:color="auto" w:sz="12" w:space="0"/>
                    <w:left w:val="single" w:color="auto" w:sz="2" w:space="0"/>
                    <w:bottom w:val="single" w:color="auto" w:sz="12" w:space="0"/>
                    <w:right w:val="single" w:color="auto" w:sz="2" w:space="0"/>
                  </w:tcBorders>
                  <w:vAlign w:val="center"/>
                </w:tcPr>
                <w:p>
                  <w:pPr>
                    <w:jc w:val="center"/>
                    <w:rPr>
                      <w:sz w:val="24"/>
                    </w:rPr>
                  </w:pPr>
                  <w:r>
                    <w:rPr>
                      <w:rFonts w:hint="eastAsia"/>
                      <w:sz w:val="18"/>
                      <w:szCs w:val="18"/>
                    </w:rPr>
                    <w:t>校准</w:t>
                  </w:r>
                  <w:r>
                    <w:rPr>
                      <w:sz w:val="18"/>
                      <w:szCs w:val="18"/>
                    </w:rPr>
                    <w:t>有效期</w:t>
                  </w:r>
                </w:p>
              </w:tc>
              <w:tc>
                <w:tcPr>
                  <w:tcW w:w="1446" w:type="dxa"/>
                  <w:tcBorders>
                    <w:top w:val="single" w:color="auto" w:sz="12" w:space="0"/>
                    <w:left w:val="single" w:color="auto" w:sz="2" w:space="0"/>
                    <w:bottom w:val="single" w:color="auto" w:sz="12" w:space="0"/>
                    <w:right w:val="single" w:color="auto" w:sz="2" w:space="0"/>
                  </w:tcBorders>
                  <w:vAlign w:val="center"/>
                </w:tcPr>
                <w:p>
                  <w:pPr>
                    <w:jc w:val="center"/>
                    <w:rPr>
                      <w:sz w:val="24"/>
                    </w:rPr>
                  </w:pPr>
                  <w:r>
                    <w:rPr>
                      <w:rFonts w:hint="eastAsia"/>
                      <w:sz w:val="18"/>
                      <w:szCs w:val="18"/>
                    </w:rPr>
                    <w:t>校准</w:t>
                  </w:r>
                  <w:r>
                    <w:rPr>
                      <w:sz w:val="18"/>
                      <w:szCs w:val="18"/>
                    </w:rPr>
                    <w:t>证书号</w:t>
                  </w:r>
                </w:p>
              </w:tc>
              <w:tc>
                <w:tcPr>
                  <w:tcW w:w="1387" w:type="dxa"/>
                  <w:tcBorders>
                    <w:top w:val="single" w:color="auto" w:sz="12" w:space="0"/>
                    <w:left w:val="single" w:color="auto" w:sz="2" w:space="0"/>
                    <w:bottom w:val="single" w:color="auto" w:sz="12" w:space="0"/>
                    <w:right w:val="single" w:color="auto" w:sz="2" w:space="0"/>
                  </w:tcBorders>
                  <w:vAlign w:val="center"/>
                </w:tcPr>
                <w:p>
                  <w:pPr>
                    <w:jc w:val="center"/>
                    <w:rPr>
                      <w:sz w:val="24"/>
                    </w:rPr>
                  </w:pPr>
                  <w:r>
                    <w:rPr>
                      <w:rFonts w:hint="eastAsia"/>
                      <w:sz w:val="18"/>
                      <w:szCs w:val="18"/>
                    </w:rPr>
                    <w:t>校准</w:t>
                  </w:r>
                  <w:r>
                    <w:rPr>
                      <w:sz w:val="18"/>
                      <w:szCs w:val="1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7" w:type="dxa"/>
                  <w:tcBorders>
                    <w:top w:val="single" w:color="auto" w:sz="12" w:space="0"/>
                    <w:bottom w:val="single" w:color="auto" w:sz="12" w:space="0"/>
                  </w:tcBorders>
                  <w:vAlign w:val="center"/>
                </w:tcPr>
                <w:p>
                  <w:pPr>
                    <w:jc w:val="center"/>
                    <w:rPr>
                      <w:sz w:val="18"/>
                      <w:szCs w:val="18"/>
                    </w:rPr>
                  </w:pPr>
                  <w:r>
                    <w:rPr>
                      <w:rFonts w:hint="eastAsia"/>
                      <w:bCs/>
                      <w:sz w:val="18"/>
                      <w:szCs w:val="18"/>
                    </w:rPr>
                    <w:t>环境</w:t>
                  </w:r>
                  <w:r>
                    <w:rPr>
                      <w:bCs/>
                      <w:sz w:val="18"/>
                      <w:szCs w:val="18"/>
                    </w:rPr>
                    <w:t>噪声</w:t>
                  </w:r>
                  <w:r>
                    <w:rPr>
                      <w:rFonts w:hint="eastAsia"/>
                      <w:bCs/>
                      <w:sz w:val="18"/>
                      <w:szCs w:val="18"/>
                    </w:rPr>
                    <w:t>、厂界噪声</w:t>
                  </w:r>
                </w:p>
              </w:tc>
              <w:tc>
                <w:tcPr>
                  <w:tcW w:w="1318" w:type="dxa"/>
                  <w:tcBorders>
                    <w:top w:val="single" w:color="auto" w:sz="12" w:space="0"/>
                    <w:bottom w:val="single" w:color="auto" w:sz="12" w:space="0"/>
                  </w:tcBorders>
                  <w:vAlign w:val="center"/>
                </w:tcPr>
                <w:p>
                  <w:pPr>
                    <w:jc w:val="center"/>
                    <w:rPr>
                      <w:spacing w:val="-20"/>
                      <w:sz w:val="18"/>
                      <w:szCs w:val="18"/>
                    </w:rPr>
                  </w:pPr>
                  <w:r>
                    <w:rPr>
                      <w:rFonts w:hint="eastAsia"/>
                      <w:spacing w:val="-20"/>
                      <w:sz w:val="18"/>
                      <w:szCs w:val="18"/>
                    </w:rPr>
                    <w:t>AWA6228+</w:t>
                  </w:r>
                </w:p>
                <w:p>
                  <w:pPr>
                    <w:jc w:val="center"/>
                    <w:rPr>
                      <w:sz w:val="18"/>
                      <w:szCs w:val="18"/>
                    </w:rPr>
                  </w:pPr>
                  <w:r>
                    <w:rPr>
                      <w:sz w:val="18"/>
                      <w:szCs w:val="18"/>
                    </w:rPr>
                    <w:t>噪声监测仪</w:t>
                  </w:r>
                </w:p>
                <w:p>
                  <w:pPr>
                    <w:jc w:val="center"/>
                    <w:rPr>
                      <w:color w:val="000000"/>
                      <w:spacing w:val="-10"/>
                      <w:szCs w:val="18"/>
                    </w:rPr>
                  </w:pPr>
                  <w:r>
                    <w:rPr>
                      <w:rFonts w:hint="eastAsia"/>
                      <w:sz w:val="18"/>
                      <w:szCs w:val="18"/>
                    </w:rPr>
                    <w:t>（zysb520）</w:t>
                  </w:r>
                </w:p>
              </w:tc>
              <w:tc>
                <w:tcPr>
                  <w:tcW w:w="1318" w:type="dxa"/>
                  <w:tcBorders>
                    <w:top w:val="single" w:color="auto" w:sz="12" w:space="0"/>
                    <w:bottom w:val="single" w:color="auto" w:sz="12" w:space="0"/>
                  </w:tcBorders>
                  <w:vAlign w:val="center"/>
                </w:tcPr>
                <w:p>
                  <w:pPr>
                    <w:jc w:val="center"/>
                    <w:rPr>
                      <w:color w:val="000000"/>
                      <w:sz w:val="18"/>
                      <w:szCs w:val="18"/>
                    </w:rPr>
                  </w:pPr>
                  <w:r>
                    <w:rPr>
                      <w:color w:val="000000"/>
                      <w:sz w:val="18"/>
                      <w:szCs w:val="18"/>
                    </w:rPr>
                    <w:t>30dB（A）</w:t>
                  </w:r>
                </w:p>
              </w:tc>
              <w:tc>
                <w:tcPr>
                  <w:tcW w:w="1318" w:type="dxa"/>
                  <w:tcBorders>
                    <w:top w:val="single" w:color="auto" w:sz="12" w:space="0"/>
                    <w:bottom w:val="single" w:color="auto" w:sz="12" w:space="0"/>
                  </w:tcBorders>
                  <w:vAlign w:val="center"/>
                </w:tcPr>
                <w:p>
                  <w:pPr>
                    <w:jc w:val="center"/>
                    <w:rPr>
                      <w:sz w:val="18"/>
                      <w:szCs w:val="18"/>
                    </w:rPr>
                  </w:pPr>
                  <w:r>
                    <w:rPr>
                      <w:sz w:val="18"/>
                      <w:szCs w:val="18"/>
                    </w:rPr>
                    <w:t>201</w:t>
                  </w:r>
                  <w:r>
                    <w:rPr>
                      <w:rFonts w:hint="eastAsia"/>
                      <w:sz w:val="18"/>
                      <w:szCs w:val="18"/>
                    </w:rPr>
                    <w:t>8</w:t>
                  </w:r>
                  <w:r>
                    <w:rPr>
                      <w:sz w:val="18"/>
                      <w:szCs w:val="18"/>
                    </w:rPr>
                    <w:t>.</w:t>
                  </w:r>
                  <w:r>
                    <w:rPr>
                      <w:rFonts w:hint="eastAsia"/>
                      <w:sz w:val="18"/>
                      <w:szCs w:val="18"/>
                    </w:rPr>
                    <w:t>3</w:t>
                  </w:r>
                  <w:r>
                    <w:rPr>
                      <w:sz w:val="18"/>
                      <w:szCs w:val="18"/>
                    </w:rPr>
                    <w:t>.</w:t>
                  </w:r>
                  <w:r>
                    <w:rPr>
                      <w:rFonts w:hint="eastAsia"/>
                      <w:sz w:val="18"/>
                      <w:szCs w:val="18"/>
                    </w:rPr>
                    <w:t>14</w:t>
                  </w:r>
                </w:p>
                <w:p>
                  <w:pPr>
                    <w:jc w:val="center"/>
                    <w:rPr>
                      <w:sz w:val="18"/>
                      <w:szCs w:val="18"/>
                    </w:rPr>
                  </w:pPr>
                  <w:r>
                    <w:rPr>
                      <w:rFonts w:hint="eastAsia"/>
                      <w:sz w:val="18"/>
                      <w:szCs w:val="18"/>
                    </w:rPr>
                    <w:t>至</w:t>
                  </w:r>
                </w:p>
                <w:p>
                  <w:pPr>
                    <w:jc w:val="center"/>
                    <w:rPr>
                      <w:sz w:val="18"/>
                      <w:szCs w:val="18"/>
                    </w:rPr>
                  </w:pPr>
                  <w:r>
                    <w:rPr>
                      <w:sz w:val="18"/>
                      <w:szCs w:val="18"/>
                    </w:rPr>
                    <w:t>201</w:t>
                  </w:r>
                  <w:r>
                    <w:rPr>
                      <w:rFonts w:hint="eastAsia"/>
                      <w:sz w:val="18"/>
                      <w:szCs w:val="18"/>
                    </w:rPr>
                    <w:t>9</w:t>
                  </w:r>
                  <w:r>
                    <w:rPr>
                      <w:sz w:val="18"/>
                      <w:szCs w:val="18"/>
                    </w:rPr>
                    <w:t>.</w:t>
                  </w:r>
                  <w:r>
                    <w:rPr>
                      <w:rFonts w:hint="eastAsia"/>
                      <w:sz w:val="18"/>
                      <w:szCs w:val="18"/>
                    </w:rPr>
                    <w:t>3</w:t>
                  </w:r>
                  <w:r>
                    <w:rPr>
                      <w:sz w:val="18"/>
                      <w:szCs w:val="18"/>
                    </w:rPr>
                    <w:t>.</w:t>
                  </w:r>
                  <w:r>
                    <w:rPr>
                      <w:rFonts w:hint="eastAsia"/>
                      <w:sz w:val="18"/>
                      <w:szCs w:val="18"/>
                    </w:rPr>
                    <w:t>13</w:t>
                  </w:r>
                </w:p>
              </w:tc>
              <w:tc>
                <w:tcPr>
                  <w:tcW w:w="1446" w:type="dxa"/>
                  <w:tcBorders>
                    <w:top w:val="single" w:color="auto" w:sz="12" w:space="0"/>
                    <w:bottom w:val="single" w:color="auto" w:sz="12" w:space="0"/>
                  </w:tcBorders>
                  <w:vAlign w:val="center"/>
                </w:tcPr>
                <w:p>
                  <w:pPr>
                    <w:widowControl/>
                    <w:jc w:val="center"/>
                    <w:rPr>
                      <w:sz w:val="18"/>
                      <w:szCs w:val="18"/>
                    </w:rPr>
                  </w:pPr>
                  <w:r>
                    <w:rPr>
                      <w:rFonts w:hint="eastAsia"/>
                      <w:sz w:val="18"/>
                      <w:szCs w:val="18"/>
                    </w:rPr>
                    <w:t>校准字第201803005040</w:t>
                  </w:r>
                </w:p>
              </w:tc>
              <w:tc>
                <w:tcPr>
                  <w:tcW w:w="1387" w:type="dxa"/>
                  <w:tcBorders>
                    <w:top w:val="single" w:color="auto" w:sz="12" w:space="0"/>
                    <w:bottom w:val="single" w:color="auto" w:sz="12" w:space="0"/>
                  </w:tcBorders>
                  <w:vAlign w:val="center"/>
                </w:tcPr>
                <w:p>
                  <w:pPr>
                    <w:jc w:val="center"/>
                    <w:rPr>
                      <w:sz w:val="18"/>
                      <w:szCs w:val="18"/>
                    </w:rPr>
                  </w:pPr>
                  <w:r>
                    <w:rPr>
                      <w:sz w:val="18"/>
                      <w:szCs w:val="18"/>
                    </w:rPr>
                    <w:t>中国测试技术研究院</w:t>
                  </w:r>
                </w:p>
              </w:tc>
            </w:tr>
          </w:tbl>
          <w:p>
            <w:pPr>
              <w:spacing w:line="360" w:lineRule="auto"/>
              <w:rPr>
                <w:b/>
                <w:bCs/>
                <w:sz w:val="24"/>
              </w:rPr>
            </w:pPr>
            <w:r>
              <w:rPr>
                <w:rFonts w:hint="eastAsia"/>
                <w:b/>
                <w:bCs/>
                <w:sz w:val="24"/>
              </w:rPr>
              <w:t>7.10监测结果分析</w:t>
            </w:r>
          </w:p>
          <w:p>
            <w:pPr>
              <w:spacing w:line="360" w:lineRule="auto"/>
              <w:ind w:firstLine="360" w:firstLineChars="150"/>
              <w:rPr>
                <w:b/>
                <w:bCs/>
                <w:sz w:val="24"/>
              </w:rPr>
            </w:pPr>
            <w:r>
              <w:rPr>
                <w:rFonts w:hint="eastAsia"/>
                <w:bCs/>
                <w:sz w:val="24"/>
              </w:rPr>
              <w:t>本次验收噪声监测结果如下表7</w:t>
            </w:r>
            <w:r>
              <w:rPr>
                <w:bCs/>
                <w:sz w:val="24"/>
              </w:rPr>
              <w:t>-</w:t>
            </w:r>
            <w:r>
              <w:rPr>
                <w:rFonts w:hint="eastAsia"/>
                <w:bCs/>
                <w:sz w:val="24"/>
              </w:rPr>
              <w:t>5：</w:t>
            </w:r>
          </w:p>
          <w:p>
            <w:pPr>
              <w:spacing w:line="360" w:lineRule="auto"/>
              <w:jc w:val="center"/>
              <w:rPr>
                <w:b/>
                <w:sz w:val="24"/>
              </w:rPr>
            </w:pPr>
            <w:r>
              <w:rPr>
                <w:rFonts w:hint="eastAsia"/>
                <w:b/>
                <w:bCs/>
                <w:sz w:val="24"/>
              </w:rPr>
              <w:t>表7</w:t>
            </w:r>
            <w:r>
              <w:rPr>
                <w:b/>
                <w:bCs/>
                <w:sz w:val="24"/>
              </w:rPr>
              <w:t>-</w:t>
            </w:r>
            <w:r>
              <w:rPr>
                <w:rFonts w:hint="eastAsia"/>
                <w:b/>
                <w:bCs/>
                <w:sz w:val="24"/>
              </w:rPr>
              <w:t>5 “</w:t>
            </w:r>
            <w:r>
              <w:rPr>
                <w:rFonts w:hint="eastAsia"/>
                <w:b/>
                <w:sz w:val="24"/>
                <w:szCs w:val="24"/>
              </w:rPr>
              <w:t>龙安35</w:t>
            </w:r>
            <w:r>
              <w:rPr>
                <w:rFonts w:hint="eastAsia"/>
                <w:b/>
                <w:bCs/>
                <w:sz w:val="24"/>
                <w:szCs w:val="24"/>
              </w:rPr>
              <w:t xml:space="preserve"> kV</w:t>
            </w:r>
            <w:r>
              <w:rPr>
                <w:rFonts w:hint="eastAsia"/>
                <w:b/>
                <w:sz w:val="24"/>
                <w:szCs w:val="24"/>
              </w:rPr>
              <w:t>变电站灾后恢复重建改造工程”</w:t>
            </w:r>
            <w:r>
              <w:rPr>
                <w:rFonts w:hint="eastAsia" w:ascii="宋体" w:hAnsi="宋体"/>
                <w:b/>
                <w:bCs/>
                <w:sz w:val="24"/>
              </w:rPr>
              <w:t>项目</w:t>
            </w:r>
            <w:r>
              <w:rPr>
                <w:rFonts w:hint="eastAsia"/>
                <w:b/>
                <w:bCs/>
                <w:sz w:val="24"/>
              </w:rPr>
              <w:t>噪声现状监测结果</w:t>
            </w:r>
          </w:p>
          <w:tbl>
            <w:tblPr>
              <w:tblStyle w:val="17"/>
              <w:tblW w:w="8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659"/>
              <w:gridCol w:w="3647"/>
              <w:gridCol w:w="1685"/>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674" w:type="dxa"/>
                  <w:vMerge w:val="restart"/>
                  <w:tcBorders>
                    <w:top w:val="single" w:color="auto" w:sz="12" w:space="0"/>
                  </w:tcBorders>
                  <w:vAlign w:val="center"/>
                </w:tcPr>
                <w:p>
                  <w:pPr>
                    <w:jc w:val="center"/>
                    <w:rPr>
                      <w:b/>
                      <w:bCs/>
                      <w:sz w:val="24"/>
                    </w:rPr>
                  </w:pPr>
                  <w:r>
                    <w:rPr>
                      <w:rFonts w:hint="eastAsia"/>
                      <w:b/>
                      <w:bCs/>
                      <w:sz w:val="24"/>
                    </w:rPr>
                    <w:t>编号</w:t>
                  </w:r>
                </w:p>
              </w:tc>
              <w:tc>
                <w:tcPr>
                  <w:tcW w:w="4306" w:type="dxa"/>
                  <w:gridSpan w:val="2"/>
                  <w:vMerge w:val="restart"/>
                  <w:tcBorders>
                    <w:top w:val="single" w:color="auto" w:sz="12" w:space="0"/>
                  </w:tcBorders>
                  <w:vAlign w:val="center"/>
                </w:tcPr>
                <w:p>
                  <w:pPr>
                    <w:jc w:val="center"/>
                    <w:rPr>
                      <w:b/>
                      <w:bCs/>
                      <w:sz w:val="24"/>
                    </w:rPr>
                  </w:pPr>
                  <w:r>
                    <w:rPr>
                      <w:rFonts w:hint="eastAsia"/>
                      <w:b/>
                      <w:bCs/>
                      <w:sz w:val="24"/>
                    </w:rPr>
                    <w:t>点位位置</w:t>
                  </w:r>
                </w:p>
              </w:tc>
              <w:tc>
                <w:tcPr>
                  <w:tcW w:w="3214" w:type="dxa"/>
                  <w:gridSpan w:val="2"/>
                  <w:tcBorders>
                    <w:top w:val="single" w:color="auto" w:sz="12" w:space="0"/>
                  </w:tcBorders>
                </w:tcPr>
                <w:p>
                  <w:pPr>
                    <w:widowControl/>
                    <w:jc w:val="center"/>
                    <w:rPr>
                      <w:b/>
                      <w:bCs/>
                      <w:sz w:val="24"/>
                    </w:rPr>
                  </w:pPr>
                  <w:r>
                    <w:rPr>
                      <w:rFonts w:hint="eastAsia"/>
                      <w:b/>
                      <w:bCs/>
                      <w:sz w:val="24"/>
                    </w:rPr>
                    <w:t>监测时段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trPr>
              <w:tc>
                <w:tcPr>
                  <w:tcW w:w="674" w:type="dxa"/>
                  <w:vMerge w:val="continue"/>
                  <w:tcBorders>
                    <w:bottom w:val="single" w:color="auto" w:sz="12" w:space="0"/>
                  </w:tcBorders>
                  <w:vAlign w:val="center"/>
                </w:tcPr>
                <w:p>
                  <w:pPr>
                    <w:jc w:val="center"/>
                    <w:rPr>
                      <w:b/>
                      <w:bCs/>
                      <w:sz w:val="24"/>
                    </w:rPr>
                  </w:pPr>
                </w:p>
              </w:tc>
              <w:tc>
                <w:tcPr>
                  <w:tcW w:w="4306" w:type="dxa"/>
                  <w:gridSpan w:val="2"/>
                  <w:vMerge w:val="continue"/>
                  <w:tcBorders>
                    <w:bottom w:val="single" w:color="auto" w:sz="12" w:space="0"/>
                  </w:tcBorders>
                  <w:vAlign w:val="center"/>
                </w:tcPr>
                <w:p>
                  <w:pPr>
                    <w:jc w:val="center"/>
                    <w:rPr>
                      <w:b/>
                      <w:bCs/>
                      <w:sz w:val="24"/>
                    </w:rPr>
                  </w:pPr>
                </w:p>
              </w:tc>
              <w:tc>
                <w:tcPr>
                  <w:tcW w:w="1685" w:type="dxa"/>
                  <w:tcBorders>
                    <w:bottom w:val="single" w:color="auto" w:sz="12" w:space="0"/>
                  </w:tcBorders>
                  <w:vAlign w:val="center"/>
                </w:tcPr>
                <w:p>
                  <w:pPr>
                    <w:jc w:val="center"/>
                    <w:rPr>
                      <w:b/>
                      <w:bCs/>
                      <w:sz w:val="24"/>
                    </w:rPr>
                  </w:pPr>
                  <w:r>
                    <w:rPr>
                      <w:rFonts w:hint="eastAsia"/>
                      <w:b/>
                      <w:bCs/>
                      <w:sz w:val="24"/>
                    </w:rPr>
                    <w:t>昼间</w:t>
                  </w:r>
                  <w:r>
                    <w:rPr>
                      <w:rFonts w:eastAsia="黑体"/>
                      <w:b/>
                      <w:sz w:val="24"/>
                    </w:rPr>
                    <w:t>dB（A）</w:t>
                  </w:r>
                </w:p>
              </w:tc>
              <w:tc>
                <w:tcPr>
                  <w:tcW w:w="1529" w:type="dxa"/>
                  <w:tcBorders>
                    <w:bottom w:val="single" w:color="auto" w:sz="12" w:space="0"/>
                  </w:tcBorders>
                  <w:vAlign w:val="center"/>
                </w:tcPr>
                <w:p>
                  <w:pPr>
                    <w:jc w:val="center"/>
                  </w:pPr>
                  <w:r>
                    <w:rPr>
                      <w:rFonts w:hint="eastAsia"/>
                      <w:b/>
                      <w:bCs/>
                      <w:sz w:val="24"/>
                    </w:rPr>
                    <w:t>夜间</w:t>
                  </w:r>
                  <w:r>
                    <w:rPr>
                      <w:rFonts w:eastAsia="黑体"/>
                      <w:b/>
                      <w:sz w:val="24"/>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674" w:type="dxa"/>
                  <w:tcBorders>
                    <w:top w:val="single" w:color="auto" w:sz="12" w:space="0"/>
                  </w:tcBorders>
                  <w:vAlign w:val="center"/>
                </w:tcPr>
                <w:p>
                  <w:pPr>
                    <w:jc w:val="center"/>
                    <w:rPr>
                      <w:bCs/>
                      <w:sz w:val="24"/>
                    </w:rPr>
                  </w:pPr>
                  <w:r>
                    <w:rPr>
                      <w:rFonts w:hint="eastAsia"/>
                      <w:bCs/>
                      <w:sz w:val="24"/>
                    </w:rPr>
                    <w:t>1</w:t>
                  </w:r>
                </w:p>
              </w:tc>
              <w:tc>
                <w:tcPr>
                  <w:tcW w:w="659" w:type="dxa"/>
                  <w:tcBorders>
                    <w:top w:val="single" w:color="auto" w:sz="12" w:space="0"/>
                    <w:right w:val="single" w:color="auto" w:sz="8" w:space="0"/>
                  </w:tcBorders>
                  <w:vAlign w:val="center"/>
                </w:tcPr>
                <w:p>
                  <w:pPr>
                    <w:widowControl/>
                    <w:jc w:val="center"/>
                    <w:textAlignment w:val="bottom"/>
                    <w:rPr>
                      <w:bCs/>
                      <w:sz w:val="22"/>
                    </w:rPr>
                  </w:pPr>
                  <w:r>
                    <w:rPr>
                      <w:rFonts w:hint="eastAsia"/>
                      <w:bCs/>
                      <w:sz w:val="22"/>
                    </w:rPr>
                    <w:t>厂界</w:t>
                  </w:r>
                </w:p>
              </w:tc>
              <w:tc>
                <w:tcPr>
                  <w:tcW w:w="3647" w:type="dxa"/>
                  <w:tcBorders>
                    <w:top w:val="single" w:color="auto" w:sz="12" w:space="0"/>
                    <w:left w:val="single" w:color="auto" w:sz="8" w:space="0"/>
                  </w:tcBorders>
                  <w:vAlign w:val="center"/>
                </w:tcPr>
                <w:p>
                  <w:pPr>
                    <w:widowControl/>
                    <w:jc w:val="center"/>
                    <w:textAlignment w:val="bottom"/>
                    <w:rPr>
                      <w:bCs/>
                      <w:kern w:val="0"/>
                      <w:sz w:val="22"/>
                    </w:rPr>
                  </w:pPr>
                  <w:r>
                    <w:rPr>
                      <w:rFonts w:hint="eastAsia"/>
                      <w:bCs/>
                      <w:kern w:val="0"/>
                      <w:sz w:val="22"/>
                    </w:rPr>
                    <w:t>龙安110kV变电站站界东侧</w:t>
                  </w:r>
                </w:p>
              </w:tc>
              <w:tc>
                <w:tcPr>
                  <w:tcW w:w="1685" w:type="dxa"/>
                  <w:tcBorders>
                    <w:top w:val="single" w:color="auto" w:sz="12" w:space="0"/>
                  </w:tcBorders>
                  <w:vAlign w:val="center"/>
                </w:tcPr>
                <w:p>
                  <w:pPr>
                    <w:widowControl/>
                    <w:jc w:val="center"/>
                    <w:textAlignment w:val="bottom"/>
                    <w:rPr>
                      <w:bCs/>
                      <w:sz w:val="22"/>
                    </w:rPr>
                  </w:pPr>
                  <w:r>
                    <w:rPr>
                      <w:rFonts w:hint="eastAsia"/>
                      <w:bCs/>
                      <w:sz w:val="22"/>
                    </w:rPr>
                    <w:t>45.7</w:t>
                  </w:r>
                </w:p>
              </w:tc>
              <w:tc>
                <w:tcPr>
                  <w:tcW w:w="1529" w:type="dxa"/>
                  <w:tcBorders>
                    <w:top w:val="single" w:color="auto" w:sz="12" w:space="0"/>
                  </w:tcBorders>
                  <w:vAlign w:val="center"/>
                </w:tcPr>
                <w:p>
                  <w:pPr>
                    <w:jc w:val="center"/>
                    <w:rPr>
                      <w:bCs/>
                      <w:sz w:val="22"/>
                    </w:rPr>
                  </w:pPr>
                  <w:r>
                    <w:rPr>
                      <w:rFonts w:hint="eastAsia"/>
                      <w:bCs/>
                      <w:sz w:val="22"/>
                    </w:rPr>
                    <w:t>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674" w:type="dxa"/>
                  <w:vAlign w:val="center"/>
                </w:tcPr>
                <w:p>
                  <w:pPr>
                    <w:jc w:val="center"/>
                    <w:rPr>
                      <w:bCs/>
                      <w:sz w:val="24"/>
                    </w:rPr>
                  </w:pPr>
                  <w:r>
                    <w:rPr>
                      <w:rFonts w:hint="eastAsia"/>
                      <w:bCs/>
                      <w:sz w:val="24"/>
                    </w:rPr>
                    <w:t>2</w:t>
                  </w:r>
                </w:p>
              </w:tc>
              <w:tc>
                <w:tcPr>
                  <w:tcW w:w="659" w:type="dxa"/>
                  <w:tcBorders>
                    <w:right w:val="single" w:color="auto" w:sz="8" w:space="0"/>
                  </w:tcBorders>
                  <w:vAlign w:val="center"/>
                </w:tcPr>
                <w:p>
                  <w:pPr>
                    <w:widowControl/>
                    <w:jc w:val="center"/>
                    <w:textAlignment w:val="bottom"/>
                    <w:rPr>
                      <w:sz w:val="22"/>
                    </w:rPr>
                  </w:pPr>
                  <w:r>
                    <w:rPr>
                      <w:rFonts w:hint="eastAsia"/>
                      <w:bCs/>
                      <w:sz w:val="22"/>
                    </w:rPr>
                    <w:t>厂界</w:t>
                  </w:r>
                </w:p>
              </w:tc>
              <w:tc>
                <w:tcPr>
                  <w:tcW w:w="3647" w:type="dxa"/>
                  <w:tcBorders>
                    <w:left w:val="single" w:color="auto" w:sz="8" w:space="0"/>
                  </w:tcBorders>
                  <w:vAlign w:val="center"/>
                </w:tcPr>
                <w:p>
                  <w:pPr>
                    <w:widowControl/>
                    <w:jc w:val="center"/>
                    <w:textAlignment w:val="bottom"/>
                    <w:rPr>
                      <w:bCs/>
                      <w:kern w:val="0"/>
                      <w:sz w:val="22"/>
                    </w:rPr>
                  </w:pPr>
                  <w:r>
                    <w:rPr>
                      <w:rFonts w:hint="eastAsia"/>
                      <w:bCs/>
                      <w:kern w:val="0"/>
                      <w:sz w:val="22"/>
                    </w:rPr>
                    <w:t>龙安110kV变电站站界北侧</w:t>
                  </w:r>
                </w:p>
              </w:tc>
              <w:tc>
                <w:tcPr>
                  <w:tcW w:w="1685" w:type="dxa"/>
                  <w:vAlign w:val="center"/>
                </w:tcPr>
                <w:p>
                  <w:pPr>
                    <w:widowControl/>
                    <w:jc w:val="center"/>
                    <w:textAlignment w:val="bottom"/>
                    <w:rPr>
                      <w:bCs/>
                      <w:sz w:val="22"/>
                    </w:rPr>
                  </w:pPr>
                  <w:r>
                    <w:rPr>
                      <w:rFonts w:hint="eastAsia"/>
                      <w:bCs/>
                      <w:sz w:val="22"/>
                    </w:rPr>
                    <w:t>46.3</w:t>
                  </w:r>
                </w:p>
              </w:tc>
              <w:tc>
                <w:tcPr>
                  <w:tcW w:w="1529" w:type="dxa"/>
                  <w:vAlign w:val="center"/>
                </w:tcPr>
                <w:p>
                  <w:pPr>
                    <w:jc w:val="center"/>
                    <w:rPr>
                      <w:bCs/>
                      <w:sz w:val="22"/>
                    </w:rPr>
                  </w:pPr>
                  <w:r>
                    <w:rPr>
                      <w:rFonts w:hint="eastAsia"/>
                      <w:bCs/>
                      <w:sz w:val="22"/>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674" w:type="dxa"/>
                  <w:vAlign w:val="center"/>
                </w:tcPr>
                <w:p>
                  <w:pPr>
                    <w:jc w:val="center"/>
                    <w:rPr>
                      <w:bCs/>
                      <w:sz w:val="24"/>
                    </w:rPr>
                  </w:pPr>
                  <w:r>
                    <w:rPr>
                      <w:rFonts w:hint="eastAsia"/>
                      <w:bCs/>
                      <w:sz w:val="24"/>
                    </w:rPr>
                    <w:t>3</w:t>
                  </w:r>
                </w:p>
              </w:tc>
              <w:tc>
                <w:tcPr>
                  <w:tcW w:w="659" w:type="dxa"/>
                  <w:tcBorders>
                    <w:right w:val="single" w:color="auto" w:sz="8" w:space="0"/>
                  </w:tcBorders>
                  <w:vAlign w:val="center"/>
                </w:tcPr>
                <w:p>
                  <w:pPr>
                    <w:widowControl/>
                    <w:jc w:val="center"/>
                    <w:textAlignment w:val="bottom"/>
                    <w:rPr>
                      <w:bCs/>
                      <w:sz w:val="22"/>
                    </w:rPr>
                  </w:pPr>
                  <w:r>
                    <w:rPr>
                      <w:rFonts w:hint="eastAsia"/>
                      <w:bCs/>
                      <w:sz w:val="22"/>
                    </w:rPr>
                    <w:t>厂界</w:t>
                  </w:r>
                </w:p>
              </w:tc>
              <w:tc>
                <w:tcPr>
                  <w:tcW w:w="3647" w:type="dxa"/>
                  <w:tcBorders>
                    <w:left w:val="single" w:color="auto" w:sz="8" w:space="0"/>
                  </w:tcBorders>
                  <w:vAlign w:val="center"/>
                </w:tcPr>
                <w:p>
                  <w:pPr>
                    <w:widowControl/>
                    <w:jc w:val="center"/>
                    <w:textAlignment w:val="bottom"/>
                    <w:rPr>
                      <w:bCs/>
                      <w:kern w:val="0"/>
                      <w:sz w:val="22"/>
                    </w:rPr>
                  </w:pPr>
                  <w:r>
                    <w:rPr>
                      <w:rFonts w:hint="eastAsia"/>
                      <w:bCs/>
                      <w:kern w:val="0"/>
                      <w:sz w:val="22"/>
                    </w:rPr>
                    <w:t>龙安110kV变电站站界西侧</w:t>
                  </w:r>
                </w:p>
              </w:tc>
              <w:tc>
                <w:tcPr>
                  <w:tcW w:w="1685" w:type="dxa"/>
                  <w:vAlign w:val="center"/>
                </w:tcPr>
                <w:p>
                  <w:pPr>
                    <w:widowControl/>
                    <w:jc w:val="center"/>
                    <w:textAlignment w:val="bottom"/>
                    <w:rPr>
                      <w:bCs/>
                      <w:sz w:val="22"/>
                    </w:rPr>
                  </w:pPr>
                  <w:r>
                    <w:rPr>
                      <w:rFonts w:hint="eastAsia"/>
                      <w:bCs/>
                      <w:sz w:val="22"/>
                    </w:rPr>
                    <w:t>45.0</w:t>
                  </w:r>
                </w:p>
              </w:tc>
              <w:tc>
                <w:tcPr>
                  <w:tcW w:w="1529" w:type="dxa"/>
                  <w:vAlign w:val="center"/>
                </w:tcPr>
                <w:p>
                  <w:pPr>
                    <w:jc w:val="center"/>
                    <w:rPr>
                      <w:bCs/>
                      <w:sz w:val="22"/>
                    </w:rPr>
                  </w:pPr>
                  <w:r>
                    <w:rPr>
                      <w:rFonts w:hint="eastAsia"/>
                      <w:bCs/>
                      <w:sz w:val="22"/>
                    </w:rPr>
                    <w:t>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674" w:type="dxa"/>
                  <w:vAlign w:val="center"/>
                </w:tcPr>
                <w:p>
                  <w:pPr>
                    <w:jc w:val="center"/>
                    <w:rPr>
                      <w:bCs/>
                      <w:sz w:val="24"/>
                    </w:rPr>
                  </w:pPr>
                  <w:r>
                    <w:rPr>
                      <w:rFonts w:hint="eastAsia"/>
                      <w:bCs/>
                      <w:sz w:val="24"/>
                    </w:rPr>
                    <w:t>4</w:t>
                  </w:r>
                </w:p>
              </w:tc>
              <w:tc>
                <w:tcPr>
                  <w:tcW w:w="659" w:type="dxa"/>
                  <w:tcBorders>
                    <w:right w:val="single" w:color="auto" w:sz="8" w:space="0"/>
                  </w:tcBorders>
                  <w:vAlign w:val="center"/>
                </w:tcPr>
                <w:p>
                  <w:pPr>
                    <w:widowControl/>
                    <w:jc w:val="center"/>
                    <w:textAlignment w:val="bottom"/>
                    <w:rPr>
                      <w:bCs/>
                      <w:sz w:val="22"/>
                    </w:rPr>
                  </w:pPr>
                  <w:r>
                    <w:rPr>
                      <w:rFonts w:hint="eastAsia"/>
                      <w:bCs/>
                      <w:sz w:val="22"/>
                    </w:rPr>
                    <w:t>厂界</w:t>
                  </w:r>
                </w:p>
              </w:tc>
              <w:tc>
                <w:tcPr>
                  <w:tcW w:w="3647" w:type="dxa"/>
                  <w:tcBorders>
                    <w:left w:val="single" w:color="auto" w:sz="8" w:space="0"/>
                  </w:tcBorders>
                  <w:vAlign w:val="center"/>
                </w:tcPr>
                <w:p>
                  <w:pPr>
                    <w:widowControl/>
                    <w:jc w:val="center"/>
                    <w:textAlignment w:val="bottom"/>
                    <w:rPr>
                      <w:bCs/>
                      <w:kern w:val="0"/>
                      <w:sz w:val="22"/>
                    </w:rPr>
                  </w:pPr>
                  <w:r>
                    <w:rPr>
                      <w:rFonts w:hint="eastAsia"/>
                      <w:bCs/>
                      <w:kern w:val="0"/>
                      <w:sz w:val="22"/>
                    </w:rPr>
                    <w:t>龙安110kV变电站站界南侧</w:t>
                  </w:r>
                </w:p>
              </w:tc>
              <w:tc>
                <w:tcPr>
                  <w:tcW w:w="1685" w:type="dxa"/>
                  <w:vAlign w:val="center"/>
                </w:tcPr>
                <w:p>
                  <w:pPr>
                    <w:widowControl/>
                    <w:jc w:val="center"/>
                    <w:textAlignment w:val="bottom"/>
                    <w:rPr>
                      <w:bCs/>
                      <w:sz w:val="22"/>
                    </w:rPr>
                  </w:pPr>
                  <w:r>
                    <w:rPr>
                      <w:rFonts w:hint="eastAsia"/>
                      <w:bCs/>
                      <w:sz w:val="22"/>
                    </w:rPr>
                    <w:t>45.1</w:t>
                  </w:r>
                </w:p>
              </w:tc>
              <w:tc>
                <w:tcPr>
                  <w:tcW w:w="1529" w:type="dxa"/>
                  <w:vAlign w:val="center"/>
                </w:tcPr>
                <w:p>
                  <w:pPr>
                    <w:jc w:val="center"/>
                    <w:rPr>
                      <w:bCs/>
                      <w:sz w:val="22"/>
                    </w:rPr>
                  </w:pPr>
                  <w:r>
                    <w:rPr>
                      <w:rFonts w:hint="eastAsia"/>
                      <w:bCs/>
                      <w:sz w:val="22"/>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674" w:type="dxa"/>
                  <w:vAlign w:val="center"/>
                </w:tcPr>
                <w:p>
                  <w:pPr>
                    <w:jc w:val="center"/>
                    <w:rPr>
                      <w:bCs/>
                      <w:sz w:val="24"/>
                    </w:rPr>
                  </w:pPr>
                  <w:r>
                    <w:rPr>
                      <w:rFonts w:hint="eastAsia"/>
                      <w:bCs/>
                      <w:sz w:val="24"/>
                    </w:rPr>
                    <w:t>5</w:t>
                  </w:r>
                </w:p>
              </w:tc>
              <w:tc>
                <w:tcPr>
                  <w:tcW w:w="659" w:type="dxa"/>
                  <w:tcBorders>
                    <w:right w:val="single" w:color="auto" w:sz="8" w:space="0"/>
                  </w:tcBorders>
                  <w:vAlign w:val="center"/>
                </w:tcPr>
                <w:p>
                  <w:pPr>
                    <w:widowControl/>
                    <w:jc w:val="center"/>
                    <w:textAlignment w:val="bottom"/>
                    <w:rPr>
                      <w:bCs/>
                      <w:sz w:val="22"/>
                    </w:rPr>
                  </w:pPr>
                  <w:r>
                    <w:rPr>
                      <w:rFonts w:hint="eastAsia"/>
                      <w:bCs/>
                      <w:sz w:val="22"/>
                    </w:rPr>
                    <w:t>环境</w:t>
                  </w:r>
                </w:p>
              </w:tc>
              <w:tc>
                <w:tcPr>
                  <w:tcW w:w="3647" w:type="dxa"/>
                  <w:tcBorders>
                    <w:left w:val="single" w:color="auto" w:sz="8" w:space="0"/>
                  </w:tcBorders>
                  <w:vAlign w:val="center"/>
                </w:tcPr>
                <w:p>
                  <w:pPr>
                    <w:widowControl/>
                    <w:jc w:val="center"/>
                    <w:textAlignment w:val="bottom"/>
                    <w:rPr>
                      <w:bCs/>
                      <w:sz w:val="22"/>
                    </w:rPr>
                  </w:pPr>
                  <w:r>
                    <w:rPr>
                      <w:rFonts w:hint="eastAsia"/>
                      <w:bCs/>
                      <w:sz w:val="22"/>
                    </w:rPr>
                    <w:t>龙安110kV变电站站界南侧约5m处，齐明义住宅旁</w:t>
                  </w:r>
                </w:p>
              </w:tc>
              <w:tc>
                <w:tcPr>
                  <w:tcW w:w="1685" w:type="dxa"/>
                  <w:vAlign w:val="center"/>
                </w:tcPr>
                <w:p>
                  <w:pPr>
                    <w:widowControl/>
                    <w:jc w:val="center"/>
                    <w:textAlignment w:val="bottom"/>
                    <w:rPr>
                      <w:bCs/>
                      <w:sz w:val="22"/>
                    </w:rPr>
                  </w:pPr>
                  <w:r>
                    <w:rPr>
                      <w:rFonts w:hint="eastAsia"/>
                      <w:bCs/>
                      <w:sz w:val="22"/>
                    </w:rPr>
                    <w:t>45.3</w:t>
                  </w:r>
                </w:p>
              </w:tc>
              <w:tc>
                <w:tcPr>
                  <w:tcW w:w="1529" w:type="dxa"/>
                  <w:vAlign w:val="center"/>
                </w:tcPr>
                <w:p>
                  <w:pPr>
                    <w:jc w:val="center"/>
                    <w:rPr>
                      <w:bCs/>
                      <w:sz w:val="22"/>
                    </w:rPr>
                  </w:pPr>
                  <w:r>
                    <w:rPr>
                      <w:rFonts w:hint="eastAsia"/>
                      <w:bCs/>
                      <w:sz w:val="22"/>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674" w:type="dxa"/>
                  <w:tcBorders>
                    <w:bottom w:val="single" w:color="auto" w:sz="12" w:space="0"/>
                  </w:tcBorders>
                  <w:vAlign w:val="center"/>
                </w:tcPr>
                <w:p>
                  <w:pPr>
                    <w:jc w:val="center"/>
                    <w:rPr>
                      <w:bCs/>
                      <w:sz w:val="24"/>
                    </w:rPr>
                  </w:pPr>
                  <w:r>
                    <w:rPr>
                      <w:rFonts w:hint="eastAsia"/>
                      <w:bCs/>
                      <w:sz w:val="24"/>
                    </w:rPr>
                    <w:t>6</w:t>
                  </w:r>
                </w:p>
              </w:tc>
              <w:tc>
                <w:tcPr>
                  <w:tcW w:w="659" w:type="dxa"/>
                  <w:tcBorders>
                    <w:bottom w:val="single" w:color="auto" w:sz="12" w:space="0"/>
                    <w:right w:val="single" w:color="auto" w:sz="8" w:space="0"/>
                  </w:tcBorders>
                  <w:vAlign w:val="center"/>
                </w:tcPr>
                <w:p>
                  <w:pPr>
                    <w:widowControl/>
                    <w:jc w:val="center"/>
                    <w:textAlignment w:val="bottom"/>
                    <w:rPr>
                      <w:bCs/>
                      <w:sz w:val="22"/>
                    </w:rPr>
                  </w:pPr>
                  <w:r>
                    <w:rPr>
                      <w:rFonts w:hint="eastAsia"/>
                      <w:bCs/>
                      <w:sz w:val="22"/>
                    </w:rPr>
                    <w:t>环境</w:t>
                  </w:r>
                </w:p>
              </w:tc>
              <w:tc>
                <w:tcPr>
                  <w:tcW w:w="3647" w:type="dxa"/>
                  <w:tcBorders>
                    <w:left w:val="single" w:color="auto" w:sz="8" w:space="0"/>
                    <w:bottom w:val="single" w:color="auto" w:sz="12" w:space="0"/>
                  </w:tcBorders>
                  <w:vAlign w:val="center"/>
                </w:tcPr>
                <w:p>
                  <w:pPr>
                    <w:widowControl/>
                    <w:jc w:val="center"/>
                    <w:textAlignment w:val="bottom"/>
                    <w:rPr>
                      <w:bCs/>
                      <w:sz w:val="22"/>
                    </w:rPr>
                  </w:pPr>
                  <w:r>
                    <w:rPr>
                      <w:rFonts w:hint="eastAsia"/>
                      <w:bCs/>
                      <w:sz w:val="22"/>
                    </w:rPr>
                    <w:t>龙安110kV变电站站界南侧约35m处，种植站旁</w:t>
                  </w:r>
                </w:p>
              </w:tc>
              <w:tc>
                <w:tcPr>
                  <w:tcW w:w="1685" w:type="dxa"/>
                  <w:tcBorders>
                    <w:bottom w:val="single" w:color="auto" w:sz="12" w:space="0"/>
                  </w:tcBorders>
                  <w:vAlign w:val="center"/>
                </w:tcPr>
                <w:p>
                  <w:pPr>
                    <w:widowControl/>
                    <w:jc w:val="center"/>
                    <w:textAlignment w:val="bottom"/>
                    <w:rPr>
                      <w:bCs/>
                      <w:sz w:val="22"/>
                    </w:rPr>
                  </w:pPr>
                  <w:r>
                    <w:rPr>
                      <w:rFonts w:hint="eastAsia"/>
                      <w:bCs/>
                      <w:sz w:val="22"/>
                    </w:rPr>
                    <w:t>45.9</w:t>
                  </w:r>
                </w:p>
              </w:tc>
              <w:tc>
                <w:tcPr>
                  <w:tcW w:w="1529" w:type="dxa"/>
                  <w:tcBorders>
                    <w:bottom w:val="single" w:color="auto" w:sz="12" w:space="0"/>
                  </w:tcBorders>
                  <w:vAlign w:val="center"/>
                </w:tcPr>
                <w:p>
                  <w:pPr>
                    <w:jc w:val="center"/>
                    <w:rPr>
                      <w:bCs/>
                      <w:sz w:val="22"/>
                    </w:rPr>
                  </w:pPr>
                  <w:r>
                    <w:rPr>
                      <w:rFonts w:hint="eastAsia"/>
                      <w:bCs/>
                      <w:sz w:val="22"/>
                    </w:rPr>
                    <w:t>40.1</w:t>
                  </w:r>
                </w:p>
              </w:tc>
            </w:tr>
          </w:tbl>
          <w:p>
            <w:pPr>
              <w:spacing w:line="360" w:lineRule="auto"/>
              <w:rPr>
                <w:sz w:val="24"/>
              </w:rPr>
            </w:pPr>
            <w:r>
              <w:rPr>
                <w:bCs/>
                <w:sz w:val="24"/>
              </w:rPr>
              <w:t>从上表监测数据看出，</w:t>
            </w:r>
            <w:r>
              <w:rPr>
                <w:rFonts w:hint="eastAsia"/>
                <w:bCs/>
                <w:sz w:val="24"/>
              </w:rPr>
              <w:t>本工程</w:t>
            </w:r>
            <w:r>
              <w:rPr>
                <w:rFonts w:hint="eastAsia"/>
                <w:sz w:val="24"/>
              </w:rPr>
              <w:t>变电站厂界噪声均低于《工业企业厂界环境噪声排放标准》（</w:t>
            </w:r>
            <w:r>
              <w:rPr>
                <w:bCs/>
                <w:sz w:val="24"/>
              </w:rPr>
              <w:t>GB12348</w:t>
            </w:r>
            <w:r>
              <w:rPr>
                <w:sz w:val="24"/>
              </w:rPr>
              <w:t>-</w:t>
            </w:r>
            <w:r>
              <w:rPr>
                <w:bCs/>
                <w:sz w:val="24"/>
              </w:rPr>
              <w:t>2008</w:t>
            </w:r>
            <w:r>
              <w:rPr>
                <w:rFonts w:hint="eastAsia"/>
                <w:sz w:val="24"/>
              </w:rPr>
              <w:t>）</w:t>
            </w:r>
            <w:r>
              <w:rPr>
                <w:sz w:val="24"/>
              </w:rPr>
              <w:t>2</w:t>
            </w:r>
            <w:r>
              <w:rPr>
                <w:rFonts w:hint="eastAsia"/>
                <w:sz w:val="24"/>
              </w:rPr>
              <w:t>类标准昼间</w:t>
            </w:r>
            <w:r>
              <w:rPr>
                <w:sz w:val="24"/>
              </w:rPr>
              <w:t>60dB（A）</w:t>
            </w:r>
            <w:r>
              <w:rPr>
                <w:rFonts w:hint="eastAsia"/>
                <w:sz w:val="24"/>
              </w:rPr>
              <w:t>、夜间</w:t>
            </w:r>
            <w:r>
              <w:rPr>
                <w:sz w:val="24"/>
              </w:rPr>
              <w:t>50dB（A）</w:t>
            </w:r>
            <w:r>
              <w:rPr>
                <w:rFonts w:hint="eastAsia"/>
                <w:sz w:val="24"/>
              </w:rPr>
              <w:t>的限值；敏感点</w:t>
            </w:r>
            <w:r>
              <w:rPr>
                <w:rFonts w:hint="eastAsia"/>
                <w:bCs/>
                <w:sz w:val="24"/>
              </w:rPr>
              <w:t>环境噪声低于</w:t>
            </w:r>
            <w:r>
              <w:rPr>
                <w:rFonts w:hint="eastAsia"/>
                <w:sz w:val="24"/>
              </w:rPr>
              <w:t>《声环境质量标准》（</w:t>
            </w:r>
            <w:r>
              <w:rPr>
                <w:sz w:val="24"/>
              </w:rPr>
              <w:t>GB 3096-2008</w:t>
            </w:r>
            <w:r>
              <w:rPr>
                <w:rFonts w:hint="eastAsia"/>
                <w:sz w:val="24"/>
              </w:rPr>
              <w:t>）</w:t>
            </w:r>
            <w:r>
              <w:rPr>
                <w:sz w:val="24"/>
              </w:rPr>
              <w:t>2</w:t>
            </w:r>
            <w:r>
              <w:rPr>
                <w:rFonts w:hint="eastAsia"/>
                <w:sz w:val="24"/>
              </w:rPr>
              <w:t>类标准昼间</w:t>
            </w:r>
            <w:r>
              <w:rPr>
                <w:sz w:val="24"/>
              </w:rPr>
              <w:t>60dB（A）</w:t>
            </w:r>
            <w:r>
              <w:rPr>
                <w:rFonts w:hint="eastAsia"/>
                <w:sz w:val="24"/>
              </w:rPr>
              <w:t>、夜间</w:t>
            </w:r>
            <w:r>
              <w:rPr>
                <w:sz w:val="24"/>
              </w:rPr>
              <w:t>50dB（A）</w:t>
            </w:r>
            <w:r>
              <w:rPr>
                <w:rFonts w:hint="eastAsia"/>
                <w:sz w:val="24"/>
              </w:rPr>
              <w:t>的限值。</w:t>
            </w:r>
          </w:p>
          <w:p>
            <w:pPr>
              <w:spacing w:line="360" w:lineRule="auto"/>
              <w:ind w:firstLine="480" w:firstLineChars="200"/>
              <w:rPr>
                <w:sz w:val="24"/>
              </w:rPr>
            </w:pPr>
            <w:r>
              <w:rPr>
                <w:rFonts w:hint="eastAsia"/>
                <w:sz w:val="24"/>
              </w:rPr>
              <w:t>根据等效连续A声级源强随距离增大而逐渐减小的规律可知，本项目验收调查范围外的居民点的等效连续A声级是满足要求的。</w:t>
            </w:r>
          </w:p>
        </w:tc>
      </w:tr>
    </w:tbl>
    <w:p>
      <w:pPr>
        <w:rPr>
          <w:b/>
          <w:sz w:val="32"/>
          <w:szCs w:val="32"/>
        </w:rPr>
        <w:sectPr>
          <w:pgSz w:w="11906" w:h="16838"/>
          <w:pgMar w:top="1440" w:right="1800" w:bottom="1440" w:left="1800" w:header="851" w:footer="992" w:gutter="0"/>
          <w:cols w:space="720" w:num="1"/>
          <w:docGrid w:type="lines" w:linePitch="312" w:charSpace="0"/>
        </w:sectPr>
      </w:pPr>
    </w:p>
    <w:p>
      <w:pPr>
        <w:pStyle w:val="2"/>
        <w:spacing w:before="0" w:after="0" w:line="360" w:lineRule="auto"/>
        <w:rPr>
          <w:rFonts w:ascii="宋体" w:hAnsi="宋体"/>
          <w:sz w:val="32"/>
          <w:szCs w:val="32"/>
        </w:rPr>
      </w:pPr>
      <w:bookmarkStart w:id="16" w:name="_Toc483476030"/>
      <w:r>
        <w:rPr>
          <w:rFonts w:hint="eastAsia" w:ascii="宋体" w:hAnsi="宋体"/>
          <w:sz w:val="32"/>
          <w:szCs w:val="32"/>
        </w:rPr>
        <w:t>表八、环境影响调查</w:t>
      </w:r>
      <w:bookmarkEnd w:id="16"/>
    </w:p>
    <w:tbl>
      <w:tblPr>
        <w:tblStyle w:val="17"/>
        <w:tblW w:w="908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900"/>
        <w:gridCol w:w="7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44" w:hRule="atLeast"/>
        </w:trPr>
        <w:tc>
          <w:tcPr>
            <w:tcW w:w="644" w:type="dxa"/>
            <w:vMerge w:val="restart"/>
            <w:tcBorders>
              <w:top w:val="single" w:color="auto" w:sz="12" w:space="0"/>
              <w:left w:val="single" w:color="auto" w:sz="12" w:space="0"/>
              <w:right w:val="single" w:color="auto" w:sz="12" w:space="0"/>
            </w:tcBorders>
            <w:vAlign w:val="center"/>
          </w:tcPr>
          <w:p>
            <w:pPr>
              <w:spacing w:line="400" w:lineRule="exact"/>
              <w:jc w:val="center"/>
              <w:rPr>
                <w:rFonts w:ascii="宋体" w:hAnsi="宋体" w:cs="宋体"/>
                <w:b/>
                <w:sz w:val="24"/>
                <w:szCs w:val="24"/>
              </w:rPr>
            </w:pPr>
            <w:r>
              <w:rPr>
                <w:rFonts w:hint="eastAsia" w:ascii="宋体" w:hAnsi="宋体" w:cs="宋体"/>
                <w:b/>
                <w:sz w:val="24"/>
                <w:szCs w:val="24"/>
              </w:rPr>
              <w:t>施</w:t>
            </w:r>
          </w:p>
          <w:p>
            <w:pPr>
              <w:spacing w:line="400" w:lineRule="exact"/>
              <w:jc w:val="center"/>
              <w:rPr>
                <w:rFonts w:ascii="宋体" w:hAnsi="宋体" w:cs="宋体"/>
                <w:b/>
                <w:sz w:val="24"/>
                <w:szCs w:val="24"/>
              </w:rPr>
            </w:pPr>
            <w:r>
              <w:rPr>
                <w:rFonts w:hint="eastAsia" w:ascii="宋体" w:hAnsi="宋体" w:cs="宋体"/>
                <w:b/>
                <w:sz w:val="24"/>
                <w:szCs w:val="24"/>
              </w:rPr>
              <w:t>工</w:t>
            </w:r>
          </w:p>
          <w:p>
            <w:pPr>
              <w:spacing w:line="400" w:lineRule="exact"/>
              <w:jc w:val="center"/>
              <w:rPr>
                <w:rFonts w:ascii="宋体" w:hAnsi="宋体" w:cs="宋体"/>
                <w:b/>
                <w:sz w:val="24"/>
                <w:szCs w:val="24"/>
              </w:rPr>
            </w:pPr>
            <w:r>
              <w:rPr>
                <w:rFonts w:hint="eastAsia" w:ascii="宋体" w:hAnsi="宋体" w:cs="宋体"/>
                <w:b/>
                <w:sz w:val="24"/>
                <w:szCs w:val="24"/>
              </w:rPr>
              <w:t>期</w:t>
            </w:r>
          </w:p>
        </w:tc>
        <w:tc>
          <w:tcPr>
            <w:tcW w:w="900" w:type="dxa"/>
            <w:tcBorders>
              <w:top w:val="single" w:color="auto" w:sz="12" w:space="0"/>
              <w:left w:val="single" w:color="auto" w:sz="12" w:space="0"/>
              <w:bottom w:val="single" w:color="auto" w:sz="12" w:space="0"/>
              <w:right w:val="single" w:color="auto" w:sz="12" w:space="0"/>
            </w:tcBorders>
            <w:vAlign w:val="center"/>
          </w:tcPr>
          <w:p>
            <w:pPr>
              <w:spacing w:line="360" w:lineRule="auto"/>
              <w:rPr>
                <w:b/>
                <w:bCs/>
                <w:sz w:val="24"/>
              </w:rPr>
            </w:pPr>
            <w:r>
              <w:rPr>
                <w:rFonts w:hint="eastAsia"/>
                <w:b/>
                <w:bCs/>
                <w:sz w:val="24"/>
              </w:rPr>
              <w:t>生态</w:t>
            </w:r>
          </w:p>
          <w:p>
            <w:pPr>
              <w:spacing w:line="360" w:lineRule="auto"/>
              <w:rPr>
                <w:b/>
                <w:bCs/>
                <w:sz w:val="24"/>
              </w:rPr>
            </w:pPr>
            <w:r>
              <w:rPr>
                <w:rFonts w:hint="eastAsia"/>
                <w:b/>
                <w:bCs/>
                <w:sz w:val="24"/>
              </w:rPr>
              <w:t>影响</w:t>
            </w:r>
          </w:p>
        </w:tc>
        <w:tc>
          <w:tcPr>
            <w:tcW w:w="7545" w:type="dxa"/>
            <w:tcBorders>
              <w:top w:val="single" w:color="auto" w:sz="12" w:space="0"/>
              <w:left w:val="single" w:color="auto" w:sz="12" w:space="0"/>
              <w:bottom w:val="single" w:color="auto" w:sz="12" w:space="0"/>
              <w:right w:val="single" w:color="auto" w:sz="12" w:space="0"/>
            </w:tcBorders>
            <w:vAlign w:val="center"/>
          </w:tcPr>
          <w:p>
            <w:pPr>
              <w:spacing w:line="360" w:lineRule="auto"/>
              <w:ind w:firstLine="480" w:firstLineChars="200"/>
              <w:rPr>
                <w:b/>
                <w:bCs/>
                <w:sz w:val="24"/>
              </w:rPr>
            </w:pPr>
            <w:r>
              <w:rPr>
                <w:bCs/>
                <w:sz w:val="24"/>
              </w:rPr>
              <w:t>变电站施工集中在征地范围内</w:t>
            </w:r>
            <w:r>
              <w:rPr>
                <w:rFonts w:hint="eastAsia"/>
                <w:bCs/>
                <w:sz w:val="24"/>
              </w:rPr>
              <w:t>，现场未发现乱排乱放现象</w:t>
            </w:r>
            <w:r>
              <w:rPr>
                <w:bCs/>
                <w:sz w:val="24"/>
              </w:rPr>
              <w:t>。弃土和生活垃圾</w:t>
            </w:r>
            <w:r>
              <w:rPr>
                <w:rFonts w:hint="eastAsia"/>
                <w:bCs/>
                <w:sz w:val="24"/>
              </w:rPr>
              <w:t>已清运，自然保护较好</w:t>
            </w:r>
            <w:r>
              <w:rPr>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55" w:hRule="atLeast"/>
        </w:trPr>
        <w:tc>
          <w:tcPr>
            <w:tcW w:w="644" w:type="dxa"/>
            <w:vMerge w:val="continue"/>
            <w:tcBorders>
              <w:left w:val="single" w:color="auto" w:sz="12" w:space="0"/>
              <w:right w:val="single" w:color="auto" w:sz="12" w:space="0"/>
            </w:tcBorders>
            <w:vAlign w:val="center"/>
          </w:tcPr>
          <w:p>
            <w:pPr>
              <w:spacing w:line="400" w:lineRule="exact"/>
              <w:jc w:val="center"/>
              <w:rPr>
                <w:rFonts w:ascii="宋体" w:hAnsi="宋体" w:cs="宋体"/>
                <w:b/>
                <w:sz w:val="24"/>
                <w:szCs w:val="24"/>
              </w:rPr>
            </w:pPr>
          </w:p>
        </w:tc>
        <w:tc>
          <w:tcPr>
            <w:tcW w:w="900" w:type="dxa"/>
            <w:tcBorders>
              <w:top w:val="single" w:color="auto" w:sz="12" w:space="0"/>
              <w:left w:val="single" w:color="auto" w:sz="12" w:space="0"/>
              <w:bottom w:val="single" w:color="auto" w:sz="12" w:space="0"/>
              <w:right w:val="single" w:color="auto" w:sz="12" w:space="0"/>
            </w:tcBorders>
            <w:vAlign w:val="center"/>
          </w:tcPr>
          <w:p>
            <w:pPr>
              <w:spacing w:line="360" w:lineRule="auto"/>
              <w:jc w:val="center"/>
              <w:rPr>
                <w:b/>
                <w:bCs/>
                <w:sz w:val="24"/>
              </w:rPr>
            </w:pPr>
            <w:r>
              <w:rPr>
                <w:rFonts w:hint="eastAsia"/>
                <w:b/>
                <w:bCs/>
                <w:sz w:val="24"/>
              </w:rPr>
              <w:t>环境</w:t>
            </w:r>
          </w:p>
          <w:p>
            <w:pPr>
              <w:spacing w:line="360" w:lineRule="auto"/>
              <w:jc w:val="center"/>
              <w:rPr>
                <w:b/>
                <w:bCs/>
                <w:sz w:val="24"/>
              </w:rPr>
            </w:pPr>
            <w:r>
              <w:rPr>
                <w:rFonts w:hint="eastAsia"/>
                <w:b/>
                <w:bCs/>
                <w:sz w:val="24"/>
              </w:rPr>
              <w:t>影响</w:t>
            </w:r>
          </w:p>
        </w:tc>
        <w:tc>
          <w:tcPr>
            <w:tcW w:w="7545" w:type="dxa"/>
            <w:tcBorders>
              <w:top w:val="single" w:color="auto" w:sz="12" w:space="0"/>
              <w:left w:val="single" w:color="auto" w:sz="12" w:space="0"/>
              <w:bottom w:val="single" w:color="auto" w:sz="12" w:space="0"/>
              <w:right w:val="single" w:color="auto" w:sz="12" w:space="0"/>
            </w:tcBorders>
            <w:vAlign w:val="center"/>
          </w:tcPr>
          <w:p>
            <w:pPr>
              <w:spacing w:line="360" w:lineRule="auto"/>
              <w:ind w:firstLine="482" w:firstLineChars="200"/>
              <w:rPr>
                <w:b/>
                <w:sz w:val="24"/>
              </w:rPr>
            </w:pPr>
            <w:r>
              <w:rPr>
                <w:rFonts w:hint="eastAsia"/>
                <w:b/>
                <w:sz w:val="24"/>
              </w:rPr>
              <w:t>一、电磁环境</w:t>
            </w:r>
          </w:p>
          <w:p>
            <w:pPr>
              <w:spacing w:line="360" w:lineRule="auto"/>
              <w:ind w:firstLine="480" w:firstLineChars="200"/>
              <w:rPr>
                <w:bCs/>
                <w:sz w:val="24"/>
              </w:rPr>
            </w:pPr>
            <w:r>
              <w:rPr>
                <w:rFonts w:hint="eastAsia"/>
                <w:bCs/>
                <w:sz w:val="24"/>
              </w:rPr>
              <w:t>本项目严格按照输变电工程设计规程规范进行建设，变电站产生的电磁环境影响均满足相应评价标准要求。</w:t>
            </w:r>
          </w:p>
          <w:p>
            <w:pPr>
              <w:spacing w:line="360" w:lineRule="auto"/>
              <w:ind w:firstLine="482" w:firstLineChars="200"/>
              <w:rPr>
                <w:bCs/>
                <w:sz w:val="24"/>
              </w:rPr>
            </w:pPr>
            <w:r>
              <w:rPr>
                <w:rFonts w:hint="eastAsia"/>
                <w:b/>
                <w:sz w:val="24"/>
              </w:rPr>
              <w:t>二、其他环境</w:t>
            </w:r>
          </w:p>
          <w:p>
            <w:pPr>
              <w:spacing w:line="360" w:lineRule="auto"/>
              <w:ind w:firstLine="480" w:firstLineChars="200"/>
              <w:rPr>
                <w:bCs/>
                <w:sz w:val="24"/>
              </w:rPr>
            </w:pPr>
            <w:r>
              <w:rPr>
                <w:rFonts w:hint="eastAsia"/>
                <w:bCs/>
                <w:sz w:val="24"/>
              </w:rPr>
              <w:t>变电站施工期的扬尘影响较小；施工期的污水以施工人员生活污水为主，龙安</w:t>
            </w:r>
            <w:r>
              <w:rPr>
                <w:bCs/>
                <w:sz w:val="24"/>
              </w:rPr>
              <w:t>变电站施工期产生的生活污水</w:t>
            </w:r>
            <w:r>
              <w:rPr>
                <w:rFonts w:hint="eastAsia"/>
                <w:bCs/>
                <w:sz w:val="24"/>
              </w:rPr>
              <w:t>就近利用厕所处理，无乱排乱放现象。施工阶段噪声、扬尘及污废水对周围环境影响很小。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33" w:hRule="atLeast"/>
        </w:trPr>
        <w:tc>
          <w:tcPr>
            <w:tcW w:w="644" w:type="dxa"/>
            <w:vMerge w:val="continue"/>
            <w:tcBorders>
              <w:left w:val="single" w:color="auto" w:sz="12" w:space="0"/>
              <w:bottom w:val="single" w:color="auto" w:sz="12" w:space="0"/>
              <w:right w:val="single" w:color="auto" w:sz="12" w:space="0"/>
            </w:tcBorders>
            <w:vAlign w:val="center"/>
          </w:tcPr>
          <w:p>
            <w:pPr>
              <w:spacing w:line="400" w:lineRule="exact"/>
              <w:jc w:val="center"/>
              <w:rPr>
                <w:rFonts w:ascii="宋体" w:hAnsi="宋体" w:cs="宋体"/>
                <w:b/>
                <w:sz w:val="24"/>
                <w:szCs w:val="24"/>
              </w:rPr>
            </w:pPr>
          </w:p>
        </w:tc>
        <w:tc>
          <w:tcPr>
            <w:tcW w:w="900" w:type="dxa"/>
            <w:tcBorders>
              <w:top w:val="single" w:color="auto" w:sz="12" w:space="0"/>
              <w:left w:val="single" w:color="auto" w:sz="12" w:space="0"/>
              <w:bottom w:val="single" w:color="auto" w:sz="12" w:space="0"/>
              <w:right w:val="single" w:color="auto" w:sz="12" w:space="0"/>
            </w:tcBorders>
            <w:vAlign w:val="center"/>
          </w:tcPr>
          <w:p>
            <w:pPr>
              <w:spacing w:line="360" w:lineRule="auto"/>
              <w:jc w:val="center"/>
              <w:rPr>
                <w:b/>
                <w:bCs/>
                <w:sz w:val="24"/>
              </w:rPr>
            </w:pPr>
            <w:r>
              <w:rPr>
                <w:rFonts w:hint="eastAsia"/>
                <w:b/>
                <w:bCs/>
                <w:sz w:val="24"/>
              </w:rPr>
              <w:t>社会</w:t>
            </w:r>
          </w:p>
          <w:p>
            <w:pPr>
              <w:spacing w:line="360" w:lineRule="auto"/>
              <w:jc w:val="center"/>
              <w:rPr>
                <w:b/>
                <w:bCs/>
                <w:sz w:val="24"/>
              </w:rPr>
            </w:pPr>
            <w:r>
              <w:rPr>
                <w:rFonts w:hint="eastAsia"/>
                <w:b/>
                <w:bCs/>
                <w:sz w:val="24"/>
              </w:rPr>
              <w:t>影响</w:t>
            </w:r>
          </w:p>
        </w:tc>
        <w:tc>
          <w:tcPr>
            <w:tcW w:w="7545" w:type="dxa"/>
            <w:tcBorders>
              <w:top w:val="single" w:color="auto" w:sz="12" w:space="0"/>
              <w:left w:val="single" w:color="auto" w:sz="12" w:space="0"/>
              <w:bottom w:val="single" w:color="auto" w:sz="12" w:space="0"/>
              <w:right w:val="single" w:color="auto" w:sz="12" w:space="0"/>
            </w:tcBorders>
            <w:vAlign w:val="center"/>
          </w:tcPr>
          <w:p>
            <w:pPr>
              <w:spacing w:line="360" w:lineRule="auto"/>
              <w:ind w:firstLine="480" w:firstLineChars="200"/>
              <w:jc w:val="left"/>
              <w:rPr>
                <w:b/>
                <w:bCs/>
                <w:sz w:val="24"/>
              </w:rPr>
            </w:pPr>
            <w:r>
              <w:rPr>
                <w:rFonts w:hint="eastAsia"/>
                <w:bCs/>
                <w:sz w:val="24"/>
              </w:rPr>
              <w:t>经现场调查，本项目变电站在施工期间未发生扰民现象，建设单位与各级环保部门没有收到群众投诉。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96" w:hRule="atLeast"/>
        </w:trPr>
        <w:tc>
          <w:tcPr>
            <w:tcW w:w="644" w:type="dxa"/>
            <w:tcBorders>
              <w:left w:val="single" w:color="auto" w:sz="12" w:space="0"/>
              <w:bottom w:val="single" w:color="auto" w:sz="12" w:space="0"/>
              <w:right w:val="single" w:color="auto" w:sz="12" w:space="0"/>
            </w:tcBorders>
            <w:vAlign w:val="center"/>
          </w:tcPr>
          <w:p>
            <w:pPr>
              <w:spacing w:line="400" w:lineRule="exact"/>
              <w:rPr>
                <w:b/>
                <w:sz w:val="24"/>
                <w:szCs w:val="24"/>
              </w:rPr>
            </w:pPr>
          </w:p>
          <w:p>
            <w:pPr>
              <w:spacing w:line="400" w:lineRule="exact"/>
              <w:jc w:val="center"/>
              <w:rPr>
                <w:b/>
                <w:sz w:val="24"/>
                <w:szCs w:val="24"/>
              </w:rPr>
            </w:pPr>
            <w:r>
              <w:rPr>
                <w:rFonts w:hAnsi="宋体"/>
                <w:b/>
                <w:sz w:val="24"/>
                <w:szCs w:val="24"/>
              </w:rPr>
              <w:t>运</w:t>
            </w:r>
          </w:p>
          <w:p>
            <w:pPr>
              <w:spacing w:line="400" w:lineRule="exact"/>
              <w:jc w:val="center"/>
              <w:rPr>
                <w:b/>
                <w:sz w:val="24"/>
                <w:szCs w:val="24"/>
              </w:rPr>
            </w:pPr>
            <w:r>
              <w:rPr>
                <w:rFonts w:hAnsi="宋体"/>
                <w:b/>
                <w:sz w:val="24"/>
                <w:szCs w:val="24"/>
              </w:rPr>
              <w:t>行</w:t>
            </w:r>
          </w:p>
          <w:p>
            <w:pPr>
              <w:spacing w:line="400" w:lineRule="exact"/>
              <w:jc w:val="center"/>
              <w:rPr>
                <w:rFonts w:ascii="宋体" w:hAnsi="宋体" w:cs="宋体"/>
                <w:b/>
                <w:sz w:val="24"/>
                <w:szCs w:val="24"/>
              </w:rPr>
            </w:pPr>
            <w:r>
              <w:rPr>
                <w:rFonts w:hAnsi="宋体"/>
                <w:b/>
                <w:sz w:val="24"/>
                <w:szCs w:val="24"/>
              </w:rPr>
              <w:t>期</w:t>
            </w:r>
          </w:p>
        </w:tc>
        <w:tc>
          <w:tcPr>
            <w:tcW w:w="900" w:type="dxa"/>
            <w:tcBorders>
              <w:top w:val="single" w:color="auto" w:sz="12" w:space="0"/>
              <w:left w:val="single" w:color="auto" w:sz="12" w:space="0"/>
              <w:bottom w:val="single" w:color="auto" w:sz="12" w:space="0"/>
              <w:right w:val="single" w:color="auto" w:sz="12" w:space="0"/>
            </w:tcBorders>
            <w:vAlign w:val="center"/>
          </w:tcPr>
          <w:p>
            <w:pPr>
              <w:spacing w:line="360" w:lineRule="auto"/>
              <w:jc w:val="center"/>
              <w:rPr>
                <w:b/>
                <w:bCs/>
                <w:sz w:val="24"/>
              </w:rPr>
            </w:pPr>
          </w:p>
          <w:p>
            <w:pPr>
              <w:spacing w:line="360" w:lineRule="auto"/>
              <w:jc w:val="center"/>
              <w:rPr>
                <w:b/>
                <w:bCs/>
                <w:sz w:val="24"/>
              </w:rPr>
            </w:pPr>
            <w:r>
              <w:rPr>
                <w:b/>
                <w:bCs/>
                <w:sz w:val="24"/>
              </w:rPr>
              <w:t>生态</w:t>
            </w:r>
          </w:p>
          <w:p>
            <w:pPr>
              <w:spacing w:line="360" w:lineRule="auto"/>
              <w:jc w:val="center"/>
              <w:rPr>
                <w:b/>
                <w:bCs/>
                <w:sz w:val="24"/>
              </w:rPr>
            </w:pPr>
            <w:r>
              <w:rPr>
                <w:b/>
                <w:bCs/>
                <w:sz w:val="24"/>
              </w:rPr>
              <w:t>影响</w:t>
            </w:r>
          </w:p>
        </w:tc>
        <w:tc>
          <w:tcPr>
            <w:tcW w:w="7545" w:type="dxa"/>
            <w:tcBorders>
              <w:top w:val="single" w:color="auto" w:sz="12" w:space="0"/>
              <w:left w:val="single" w:color="auto" w:sz="12" w:space="0"/>
              <w:bottom w:val="single" w:color="auto" w:sz="12" w:space="0"/>
              <w:right w:val="single" w:color="auto" w:sz="12" w:space="0"/>
            </w:tcBorders>
            <w:vAlign w:val="center"/>
          </w:tcPr>
          <w:p>
            <w:pPr>
              <w:spacing w:line="360" w:lineRule="auto"/>
              <w:ind w:firstLine="480" w:firstLineChars="200"/>
              <w:jc w:val="left"/>
              <w:rPr>
                <w:bCs/>
                <w:sz w:val="24"/>
              </w:rPr>
            </w:pPr>
            <w:r>
              <w:rPr>
                <w:bCs/>
                <w:sz w:val="24"/>
              </w:rPr>
              <w:t>变电站</w:t>
            </w:r>
            <w:r>
              <w:rPr>
                <w:rFonts w:hint="eastAsia"/>
                <w:bCs/>
                <w:sz w:val="24"/>
              </w:rPr>
              <w:t>运行后不涉及土建施工，不会对植被生态造成影响。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532" w:hRule="atLeast"/>
        </w:trPr>
        <w:tc>
          <w:tcPr>
            <w:tcW w:w="644" w:type="dxa"/>
            <w:vMerge w:val="restart"/>
            <w:tcBorders>
              <w:top w:val="single" w:color="auto" w:sz="12" w:space="0"/>
              <w:left w:val="single" w:color="auto" w:sz="12" w:space="0"/>
              <w:right w:val="single" w:color="auto" w:sz="12" w:space="0"/>
            </w:tcBorders>
            <w:vAlign w:val="center"/>
          </w:tcPr>
          <w:p>
            <w:pPr>
              <w:spacing w:line="400" w:lineRule="exact"/>
              <w:jc w:val="center"/>
              <w:rPr>
                <w:b/>
                <w:sz w:val="24"/>
                <w:szCs w:val="24"/>
              </w:rPr>
            </w:pPr>
          </w:p>
          <w:p>
            <w:pPr>
              <w:spacing w:line="400" w:lineRule="exact"/>
              <w:jc w:val="center"/>
              <w:rPr>
                <w:b/>
                <w:sz w:val="24"/>
                <w:szCs w:val="24"/>
              </w:rPr>
            </w:pPr>
            <w:r>
              <w:rPr>
                <w:rFonts w:hAnsi="宋体"/>
                <w:b/>
                <w:sz w:val="24"/>
                <w:szCs w:val="24"/>
              </w:rPr>
              <w:t>运</w:t>
            </w:r>
          </w:p>
          <w:p>
            <w:pPr>
              <w:spacing w:line="400" w:lineRule="exact"/>
              <w:jc w:val="center"/>
              <w:rPr>
                <w:b/>
                <w:sz w:val="24"/>
                <w:szCs w:val="24"/>
              </w:rPr>
            </w:pPr>
            <w:r>
              <w:rPr>
                <w:rFonts w:hAnsi="宋体"/>
                <w:b/>
                <w:sz w:val="24"/>
                <w:szCs w:val="24"/>
              </w:rPr>
              <w:t>行</w:t>
            </w:r>
          </w:p>
          <w:p>
            <w:pPr>
              <w:spacing w:line="400" w:lineRule="exact"/>
              <w:jc w:val="center"/>
              <w:rPr>
                <w:b/>
                <w:sz w:val="24"/>
                <w:szCs w:val="24"/>
              </w:rPr>
            </w:pPr>
            <w:r>
              <w:rPr>
                <w:rFonts w:hAnsi="宋体"/>
                <w:b/>
                <w:sz w:val="24"/>
                <w:szCs w:val="24"/>
              </w:rPr>
              <w:t>期</w:t>
            </w:r>
          </w:p>
        </w:tc>
        <w:tc>
          <w:tcPr>
            <w:tcW w:w="900" w:type="dxa"/>
            <w:tcBorders>
              <w:top w:val="single" w:color="auto" w:sz="12" w:space="0"/>
              <w:left w:val="single" w:color="auto" w:sz="12" w:space="0"/>
              <w:bottom w:val="single" w:color="auto" w:sz="12" w:space="0"/>
              <w:right w:val="single" w:color="auto" w:sz="12" w:space="0"/>
            </w:tcBorders>
            <w:vAlign w:val="center"/>
          </w:tcPr>
          <w:p>
            <w:pPr>
              <w:spacing w:line="360" w:lineRule="auto"/>
              <w:jc w:val="center"/>
              <w:rPr>
                <w:b/>
                <w:bCs/>
                <w:sz w:val="24"/>
              </w:rPr>
            </w:pPr>
            <w:r>
              <w:rPr>
                <w:b/>
                <w:bCs/>
                <w:sz w:val="24"/>
              </w:rPr>
              <w:t>环境</w:t>
            </w:r>
          </w:p>
          <w:p>
            <w:pPr>
              <w:spacing w:line="360" w:lineRule="auto"/>
              <w:jc w:val="center"/>
              <w:rPr>
                <w:b/>
                <w:bCs/>
                <w:sz w:val="24"/>
              </w:rPr>
            </w:pPr>
            <w:r>
              <w:rPr>
                <w:b/>
                <w:bCs/>
                <w:sz w:val="24"/>
              </w:rPr>
              <w:t>影响</w:t>
            </w:r>
          </w:p>
        </w:tc>
        <w:tc>
          <w:tcPr>
            <w:tcW w:w="7545" w:type="dxa"/>
            <w:tcBorders>
              <w:top w:val="single" w:color="auto" w:sz="12" w:space="0"/>
              <w:left w:val="single" w:color="auto" w:sz="12" w:space="0"/>
              <w:bottom w:val="single" w:color="auto" w:sz="12" w:space="0"/>
              <w:right w:val="single" w:color="auto" w:sz="12" w:space="0"/>
            </w:tcBorders>
          </w:tcPr>
          <w:p>
            <w:pPr>
              <w:spacing w:line="360" w:lineRule="auto"/>
              <w:ind w:firstLine="480" w:firstLineChars="200"/>
              <w:rPr>
                <w:sz w:val="24"/>
                <w:szCs w:val="24"/>
              </w:rPr>
            </w:pPr>
            <w:r>
              <w:rPr>
                <w:sz w:val="24"/>
                <w:szCs w:val="24"/>
              </w:rPr>
              <w:t>根据本工程的性质，本项目运行期产生的主要环境影响有工频电场、工频磁场及噪声等。</w:t>
            </w:r>
          </w:p>
          <w:p>
            <w:pPr>
              <w:numPr>
                <w:ilvl w:val="0"/>
                <w:numId w:val="7"/>
              </w:numPr>
              <w:spacing w:line="360" w:lineRule="auto"/>
              <w:ind w:firstLine="482" w:firstLineChars="200"/>
              <w:rPr>
                <w:b/>
                <w:bCs/>
                <w:sz w:val="24"/>
                <w:szCs w:val="24"/>
              </w:rPr>
            </w:pPr>
            <w:r>
              <w:rPr>
                <w:rFonts w:hAnsi="宋体"/>
                <w:b/>
                <w:bCs/>
                <w:sz w:val="24"/>
                <w:szCs w:val="24"/>
              </w:rPr>
              <w:t>电磁环境</w:t>
            </w:r>
          </w:p>
          <w:p>
            <w:pPr>
              <w:spacing w:line="360" w:lineRule="auto"/>
              <w:ind w:firstLine="480" w:firstLineChars="200"/>
              <w:rPr>
                <w:sz w:val="24"/>
                <w:szCs w:val="24"/>
              </w:rPr>
            </w:pPr>
            <w:r>
              <w:rPr>
                <w:rFonts w:hAnsi="宋体"/>
                <w:sz w:val="24"/>
                <w:szCs w:val="24"/>
              </w:rPr>
              <w:t>变电站：</w:t>
            </w:r>
            <w:r>
              <w:rPr>
                <w:sz w:val="24"/>
                <w:szCs w:val="24"/>
              </w:rPr>
              <w:t>工频电场强度满足4000V/m的评价标准要求。工频磁感应强度满足100μT的评价标准要求。</w:t>
            </w:r>
          </w:p>
          <w:p>
            <w:pPr>
              <w:spacing w:line="360" w:lineRule="auto"/>
              <w:ind w:firstLine="482" w:firstLineChars="200"/>
              <w:rPr>
                <w:b/>
                <w:sz w:val="24"/>
                <w:szCs w:val="24"/>
              </w:rPr>
            </w:pPr>
            <w:r>
              <w:rPr>
                <w:b/>
                <w:sz w:val="24"/>
                <w:szCs w:val="24"/>
              </w:rPr>
              <w:t>二、噪声</w:t>
            </w:r>
          </w:p>
          <w:p>
            <w:pPr>
              <w:spacing w:beforeLines="50" w:afterLines="50" w:line="360" w:lineRule="auto"/>
              <w:ind w:firstLine="480" w:firstLineChars="200"/>
              <w:rPr>
                <w:sz w:val="24"/>
              </w:rPr>
            </w:pPr>
            <w:r>
              <w:rPr>
                <w:rFonts w:hint="eastAsia"/>
                <w:sz w:val="24"/>
              </w:rPr>
              <w:t>变电站厂界噪声满足《工业企业厂界环境噪声排放标准》（</w:t>
            </w:r>
            <w:r>
              <w:rPr>
                <w:sz w:val="24"/>
              </w:rPr>
              <w:t>GB12348-2008</w:t>
            </w:r>
            <w:r>
              <w:rPr>
                <w:rFonts w:hint="eastAsia"/>
                <w:sz w:val="24"/>
              </w:rPr>
              <w:t>）</w:t>
            </w:r>
            <w:r>
              <w:rPr>
                <w:sz w:val="24"/>
              </w:rPr>
              <w:t>2</w:t>
            </w:r>
            <w:r>
              <w:rPr>
                <w:rFonts w:hint="eastAsia"/>
                <w:sz w:val="24"/>
              </w:rPr>
              <w:t>类标准昼间</w:t>
            </w:r>
            <w:r>
              <w:rPr>
                <w:sz w:val="24"/>
              </w:rPr>
              <w:t>60dB（A）</w:t>
            </w:r>
            <w:r>
              <w:rPr>
                <w:rFonts w:hint="eastAsia"/>
                <w:sz w:val="24"/>
              </w:rPr>
              <w:t>、夜间</w:t>
            </w:r>
            <w:r>
              <w:rPr>
                <w:sz w:val="24"/>
              </w:rPr>
              <w:t>50dB（A</w:t>
            </w:r>
            <w:r>
              <w:rPr>
                <w:rFonts w:hint="eastAsia"/>
                <w:sz w:val="24"/>
              </w:rPr>
              <w:t>）的限值。敏感点的环境噪声均满足《声环境质量标准》（</w:t>
            </w:r>
            <w:r>
              <w:rPr>
                <w:sz w:val="24"/>
              </w:rPr>
              <w:t>GB 3096-2008</w:t>
            </w:r>
            <w:r>
              <w:rPr>
                <w:rFonts w:hint="eastAsia"/>
                <w:sz w:val="24"/>
              </w:rPr>
              <w:t>）</w:t>
            </w:r>
            <w:r>
              <w:rPr>
                <w:sz w:val="24"/>
              </w:rPr>
              <w:t>2</w:t>
            </w:r>
            <w:r>
              <w:rPr>
                <w:rFonts w:hint="eastAsia"/>
                <w:sz w:val="24"/>
              </w:rPr>
              <w:t>类标准昼间</w:t>
            </w:r>
            <w:r>
              <w:rPr>
                <w:sz w:val="24"/>
              </w:rPr>
              <w:t>60dB（A）</w:t>
            </w:r>
            <w:r>
              <w:rPr>
                <w:rFonts w:hint="eastAsia"/>
                <w:sz w:val="24"/>
              </w:rPr>
              <w:t>、夜间</w:t>
            </w:r>
            <w:r>
              <w:rPr>
                <w:sz w:val="24"/>
              </w:rPr>
              <w:t>50dB（A）</w:t>
            </w:r>
            <w:r>
              <w:rPr>
                <w:rFonts w:hint="eastAsia"/>
                <w:sz w:val="24"/>
              </w:rPr>
              <w:t>的限值要求。</w:t>
            </w:r>
          </w:p>
          <w:p>
            <w:pPr>
              <w:spacing w:beforeLines="50" w:afterLines="50" w:line="240" w:lineRule="exact"/>
              <w:ind w:firstLine="482" w:firstLineChars="200"/>
              <w:rPr>
                <w:b/>
                <w:bCs/>
                <w:sz w:val="24"/>
                <w:szCs w:val="24"/>
              </w:rPr>
            </w:pPr>
            <w:r>
              <w:rPr>
                <w:rFonts w:hAnsi="宋体"/>
                <w:b/>
                <w:bCs/>
                <w:sz w:val="24"/>
                <w:szCs w:val="24"/>
              </w:rPr>
              <w:t>三、水环境影响</w:t>
            </w:r>
          </w:p>
          <w:p>
            <w:pPr>
              <w:spacing w:line="360" w:lineRule="auto"/>
              <w:ind w:firstLine="480" w:firstLineChars="200"/>
              <w:rPr>
                <w:sz w:val="24"/>
              </w:rPr>
            </w:pPr>
            <w:r>
              <w:rPr>
                <w:rFonts w:hint="eastAsia" w:ascii="宋体" w:hAnsi="宋体" w:cs="宋体"/>
                <w:sz w:val="24"/>
                <w:szCs w:val="24"/>
              </w:rPr>
              <w:t>生活污水产生于变电站</w:t>
            </w:r>
            <w:r>
              <w:rPr>
                <w:rFonts w:hint="eastAsia"/>
                <w:sz w:val="24"/>
              </w:rPr>
              <w:t>内（不新增工作人员），龙安</w:t>
            </w:r>
            <w:r>
              <w:rPr>
                <w:sz w:val="24"/>
              </w:rPr>
              <w:t>变</w:t>
            </w:r>
            <w:r>
              <w:rPr>
                <w:rFonts w:ascii="宋体" w:hAnsi="宋体" w:cs="宋体"/>
                <w:sz w:val="24"/>
                <w:szCs w:val="24"/>
              </w:rPr>
              <w:t>电站生活污水</w:t>
            </w:r>
            <w:r>
              <w:rPr>
                <w:rFonts w:hint="eastAsia" w:ascii="宋体" w:hAnsi="宋体" w:cs="宋体"/>
                <w:sz w:val="24"/>
                <w:szCs w:val="24"/>
              </w:rPr>
              <w:t>经化粪池储存处理后用于周边施肥，</w:t>
            </w:r>
            <w:r>
              <w:rPr>
                <w:rFonts w:ascii="宋体" w:hAnsi="宋体" w:cs="宋体"/>
                <w:sz w:val="24"/>
                <w:szCs w:val="24"/>
              </w:rPr>
              <w:t>变电站无生活污水乱排放现象。</w:t>
            </w:r>
            <w:r>
              <w:rPr>
                <w:rFonts w:hint="eastAsia" w:ascii="宋体" w:hAnsi="宋体" w:cs="宋体"/>
                <w:sz w:val="24"/>
                <w:szCs w:val="24"/>
              </w:rPr>
              <w:t>站区内</w:t>
            </w:r>
            <w:r>
              <w:rPr>
                <w:rFonts w:hint="eastAsia"/>
                <w:sz w:val="24"/>
              </w:rPr>
              <w:t>修建事故油池，工程试运行后至现场调查期间，主变压器未产生过事故油。</w:t>
            </w:r>
          </w:p>
          <w:p>
            <w:pPr>
              <w:numPr>
                <w:ilvl w:val="0"/>
                <w:numId w:val="8"/>
              </w:numPr>
              <w:spacing w:beforeLines="50" w:afterLines="50" w:line="240" w:lineRule="exact"/>
              <w:ind w:firstLine="482" w:firstLineChars="200"/>
              <w:rPr>
                <w:bCs/>
                <w:sz w:val="24"/>
                <w:szCs w:val="24"/>
              </w:rPr>
            </w:pPr>
            <w:r>
              <w:rPr>
                <w:rFonts w:hAnsi="宋体"/>
                <w:b/>
                <w:bCs/>
                <w:sz w:val="24"/>
                <w:szCs w:val="24"/>
              </w:rPr>
              <w:t>固体废物</w:t>
            </w:r>
          </w:p>
          <w:p>
            <w:pPr>
              <w:spacing w:line="360" w:lineRule="auto"/>
              <w:ind w:firstLine="360" w:firstLineChars="150"/>
              <w:rPr>
                <w:sz w:val="24"/>
                <w:szCs w:val="24"/>
              </w:rPr>
            </w:pPr>
            <w:r>
              <w:rPr>
                <w:rFonts w:hAnsi="宋体"/>
                <w:sz w:val="24"/>
                <w:szCs w:val="24"/>
              </w:rPr>
              <w:t>生活垃圾产生于变电站内，利用变电站内垃圾收集装置收集收治，满足环保要求。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61" w:hRule="atLeast"/>
        </w:trPr>
        <w:tc>
          <w:tcPr>
            <w:tcW w:w="644" w:type="dxa"/>
            <w:vMerge w:val="continue"/>
            <w:tcBorders>
              <w:left w:val="single" w:color="auto" w:sz="12" w:space="0"/>
              <w:bottom w:val="single" w:color="auto" w:sz="12" w:space="0"/>
              <w:right w:val="single" w:color="auto" w:sz="12" w:space="0"/>
            </w:tcBorders>
            <w:vAlign w:val="center"/>
          </w:tcPr>
          <w:p>
            <w:pPr>
              <w:spacing w:line="400" w:lineRule="exact"/>
              <w:jc w:val="center"/>
              <w:rPr>
                <w:rFonts w:ascii="宋体" w:hAnsi="宋体" w:cs="宋体"/>
                <w:b/>
                <w:sz w:val="24"/>
                <w:szCs w:val="24"/>
              </w:rPr>
            </w:pPr>
          </w:p>
        </w:tc>
        <w:tc>
          <w:tcPr>
            <w:tcW w:w="900" w:type="dxa"/>
            <w:tcBorders>
              <w:top w:val="single" w:color="auto" w:sz="12" w:space="0"/>
              <w:left w:val="single" w:color="auto" w:sz="12" w:space="0"/>
              <w:bottom w:val="single" w:color="auto" w:sz="12" w:space="0"/>
              <w:right w:val="single" w:color="auto" w:sz="12" w:space="0"/>
            </w:tcBorders>
            <w:vAlign w:val="center"/>
          </w:tcPr>
          <w:p>
            <w:pPr>
              <w:spacing w:line="360" w:lineRule="auto"/>
              <w:jc w:val="center"/>
              <w:rPr>
                <w:b/>
                <w:bCs/>
                <w:sz w:val="24"/>
              </w:rPr>
            </w:pPr>
            <w:r>
              <w:rPr>
                <w:rFonts w:hint="eastAsia"/>
                <w:b/>
                <w:bCs/>
                <w:sz w:val="24"/>
              </w:rPr>
              <w:t>社会</w:t>
            </w:r>
          </w:p>
          <w:p>
            <w:pPr>
              <w:spacing w:line="360" w:lineRule="auto"/>
              <w:jc w:val="center"/>
              <w:rPr>
                <w:b/>
                <w:bCs/>
                <w:sz w:val="24"/>
              </w:rPr>
            </w:pPr>
            <w:r>
              <w:rPr>
                <w:rFonts w:hint="eastAsia"/>
                <w:b/>
                <w:bCs/>
                <w:sz w:val="24"/>
              </w:rPr>
              <w:t>影响</w:t>
            </w:r>
          </w:p>
        </w:tc>
        <w:tc>
          <w:tcPr>
            <w:tcW w:w="7545" w:type="dxa"/>
            <w:tcBorders>
              <w:top w:val="single" w:color="auto" w:sz="12" w:space="0"/>
              <w:left w:val="single" w:color="auto" w:sz="12" w:space="0"/>
              <w:bottom w:val="single" w:color="auto" w:sz="12" w:space="0"/>
              <w:right w:val="single" w:color="auto" w:sz="12" w:space="0"/>
            </w:tcBorders>
            <w:vAlign w:val="center"/>
          </w:tcPr>
          <w:p>
            <w:pPr>
              <w:spacing w:line="360" w:lineRule="auto"/>
              <w:ind w:firstLine="464" w:firstLineChars="200"/>
              <w:rPr>
                <w:spacing w:val="-4"/>
                <w:sz w:val="24"/>
                <w:szCs w:val="24"/>
              </w:rPr>
            </w:pPr>
            <w:r>
              <w:rPr>
                <w:rFonts w:hint="eastAsia"/>
                <w:spacing w:val="-4"/>
                <w:sz w:val="24"/>
                <w:szCs w:val="24"/>
              </w:rPr>
              <w:t>根据《建设项目竣工环境保护验收技术规范 输变电工程（HJ 705-2014）》在输变电工程竣工环境保护验收调查中，调查单位可采用公示等形式征求公众意见。因此在调查过程中，调查单位在龙安变电站，张贴了公示文件进行现场公示，未收到任何群众意见与投诉情况。</w:t>
            </w:r>
          </w:p>
          <w:p>
            <w:pPr>
              <w:spacing w:line="360" w:lineRule="auto"/>
              <w:ind w:firstLine="464" w:firstLineChars="200"/>
              <w:rPr>
                <w:b/>
                <w:bCs/>
                <w:sz w:val="24"/>
              </w:rPr>
            </w:pPr>
            <w:r>
              <w:rPr>
                <w:spacing w:val="-4"/>
                <w:sz w:val="24"/>
                <w:szCs w:val="24"/>
              </w:rPr>
              <w:t>本项目的建设将满足</w:t>
            </w:r>
            <w:r>
              <w:rPr>
                <w:rFonts w:hint="eastAsia"/>
                <w:spacing w:val="-4"/>
                <w:sz w:val="24"/>
                <w:szCs w:val="24"/>
              </w:rPr>
              <w:t>所在城区</w:t>
            </w:r>
            <w:r>
              <w:rPr>
                <w:spacing w:val="-4"/>
                <w:sz w:val="24"/>
                <w:szCs w:val="24"/>
              </w:rPr>
              <w:t>的用电增长需求，对项目所在地的经济发展有很好的促进作用。同时项目的建设可增加地方财政收入，增加当地就业机会。项目的建设对当地经济的影响为正面影响，且效果显著。</w:t>
            </w:r>
          </w:p>
        </w:tc>
      </w:tr>
    </w:tbl>
    <w:p>
      <w:pPr>
        <w:rPr>
          <w:b/>
          <w:sz w:val="32"/>
          <w:szCs w:val="32"/>
        </w:rPr>
        <w:sectPr>
          <w:pgSz w:w="11906" w:h="16838"/>
          <w:pgMar w:top="1440" w:right="1800" w:bottom="1440" w:left="1800" w:header="851" w:footer="992" w:gutter="0"/>
          <w:cols w:space="720" w:num="1"/>
          <w:docGrid w:type="lines" w:linePitch="312" w:charSpace="0"/>
        </w:sectPr>
      </w:pPr>
    </w:p>
    <w:p>
      <w:pPr>
        <w:pStyle w:val="2"/>
        <w:spacing w:before="0" w:after="0" w:line="360" w:lineRule="auto"/>
        <w:rPr>
          <w:rFonts w:ascii="宋体" w:hAnsi="宋体"/>
          <w:sz w:val="32"/>
          <w:szCs w:val="32"/>
        </w:rPr>
      </w:pPr>
      <w:bookmarkStart w:id="17" w:name="_Toc483476031"/>
      <w:r>
        <w:rPr>
          <w:rFonts w:hint="eastAsia" w:ascii="宋体" w:hAnsi="宋体"/>
          <w:sz w:val="32"/>
          <w:szCs w:val="32"/>
        </w:rPr>
        <w:t>表九、环境管理及监测计划</w:t>
      </w:r>
      <w:bookmarkEnd w:id="17"/>
    </w:p>
    <w:tbl>
      <w:tblPr>
        <w:tblStyle w:val="17"/>
        <w:tblW w:w="908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31" w:hRule="atLeast"/>
          <w:jc w:val="center"/>
        </w:trPr>
        <w:tc>
          <w:tcPr>
            <w:tcW w:w="9089" w:type="dxa"/>
            <w:tcBorders>
              <w:top w:val="single" w:color="auto" w:sz="12" w:space="0"/>
              <w:left w:val="single" w:color="auto" w:sz="12" w:space="0"/>
              <w:bottom w:val="single" w:color="auto" w:sz="12" w:space="0"/>
              <w:right w:val="single" w:color="auto" w:sz="12" w:space="0"/>
            </w:tcBorders>
          </w:tcPr>
          <w:p>
            <w:pPr>
              <w:spacing w:line="360" w:lineRule="auto"/>
              <w:rPr>
                <w:b/>
                <w:bCs/>
                <w:spacing w:val="-4"/>
                <w:sz w:val="24"/>
                <w:szCs w:val="24"/>
              </w:rPr>
            </w:pPr>
            <w:r>
              <w:rPr>
                <w:rFonts w:hint="eastAsia"/>
                <w:b/>
                <w:bCs/>
                <w:spacing w:val="-4"/>
                <w:sz w:val="24"/>
                <w:szCs w:val="24"/>
              </w:rPr>
              <w:t>9.1环境管理机构设置</w:t>
            </w:r>
          </w:p>
          <w:p>
            <w:pPr>
              <w:spacing w:line="360" w:lineRule="auto"/>
              <w:rPr>
                <w:b/>
                <w:bCs/>
                <w:spacing w:val="-4"/>
                <w:sz w:val="24"/>
                <w:szCs w:val="24"/>
              </w:rPr>
            </w:pPr>
            <w:r>
              <w:rPr>
                <w:rFonts w:hint="eastAsia"/>
                <w:b/>
                <w:bCs/>
                <w:spacing w:val="-4"/>
                <w:sz w:val="24"/>
                <w:szCs w:val="24"/>
              </w:rPr>
              <w:t xml:space="preserve">    1.施工期：</w:t>
            </w:r>
          </w:p>
          <w:p>
            <w:pPr>
              <w:spacing w:line="360" w:lineRule="auto"/>
              <w:rPr>
                <w:sz w:val="24"/>
              </w:rPr>
            </w:pPr>
            <w:r>
              <w:rPr>
                <w:rFonts w:hint="eastAsia"/>
                <w:sz w:val="24"/>
                <w:szCs w:val="24"/>
              </w:rPr>
              <w:t>四川省平武电力（集团）有限公司</w:t>
            </w:r>
            <w:r>
              <w:rPr>
                <w:rFonts w:hint="eastAsia"/>
                <w:bCs/>
                <w:sz w:val="24"/>
                <w:szCs w:val="24"/>
              </w:rPr>
              <w:t>将</w:t>
            </w:r>
            <w:r>
              <w:rPr>
                <w:rFonts w:hint="eastAsia"/>
                <w:sz w:val="24"/>
              </w:rPr>
              <w:t>环境保护作为技术监督的一项内容纳入管理，明确环境保护的组织架构和负责人员。</w:t>
            </w:r>
          </w:p>
          <w:p>
            <w:pPr>
              <w:spacing w:line="360" w:lineRule="auto"/>
              <w:rPr>
                <w:b/>
                <w:bCs/>
                <w:sz w:val="24"/>
              </w:rPr>
            </w:pPr>
            <w:r>
              <w:rPr>
                <w:rFonts w:hint="eastAsia"/>
                <w:b/>
                <w:bCs/>
                <w:sz w:val="24"/>
              </w:rPr>
              <w:t>2.运行期：</w:t>
            </w:r>
          </w:p>
          <w:p>
            <w:pPr>
              <w:spacing w:line="360" w:lineRule="auto"/>
              <w:rPr>
                <w:b/>
                <w:bCs/>
                <w:spacing w:val="-4"/>
                <w:sz w:val="24"/>
                <w:szCs w:val="24"/>
              </w:rPr>
            </w:pPr>
            <w:r>
              <w:rPr>
                <w:rFonts w:hint="eastAsia"/>
                <w:sz w:val="24"/>
                <w:szCs w:val="24"/>
              </w:rPr>
              <w:t xml:space="preserve">    四川省平武电力（集团）有限公司</w:t>
            </w:r>
            <w:r>
              <w:rPr>
                <w:rFonts w:hint="eastAsia"/>
                <w:sz w:val="24"/>
              </w:rPr>
              <w:t>将环境保护作为技术监督的一项内容纳入管理，对此建立了分级分层管理的网络，人员均为兼职，明确环境保护的组织架构和各级负责人员。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29" w:hRule="atLeast"/>
          <w:jc w:val="center"/>
        </w:trPr>
        <w:tc>
          <w:tcPr>
            <w:tcW w:w="9089" w:type="dxa"/>
            <w:tcBorders>
              <w:top w:val="single" w:color="auto" w:sz="12" w:space="0"/>
              <w:left w:val="single" w:color="auto" w:sz="12" w:space="0"/>
              <w:bottom w:val="single" w:color="auto" w:sz="12" w:space="0"/>
              <w:right w:val="single" w:color="auto" w:sz="12" w:space="0"/>
            </w:tcBorders>
          </w:tcPr>
          <w:p>
            <w:pPr>
              <w:spacing w:line="360" w:lineRule="auto"/>
              <w:rPr>
                <w:b/>
                <w:bCs/>
                <w:sz w:val="24"/>
                <w:szCs w:val="24"/>
              </w:rPr>
            </w:pPr>
            <w:r>
              <w:rPr>
                <w:rFonts w:hint="eastAsia"/>
                <w:b/>
                <w:bCs/>
                <w:sz w:val="24"/>
                <w:szCs w:val="24"/>
              </w:rPr>
              <w:t>9.2 环境监测计划落实情况及环境保护档案管理情况</w:t>
            </w:r>
          </w:p>
          <w:p>
            <w:pPr>
              <w:spacing w:line="360" w:lineRule="auto"/>
              <w:rPr>
                <w:b/>
                <w:bCs/>
                <w:sz w:val="24"/>
                <w:szCs w:val="24"/>
              </w:rPr>
            </w:pPr>
            <w:r>
              <w:rPr>
                <w:rFonts w:hint="eastAsia"/>
                <w:b/>
                <w:bCs/>
                <w:sz w:val="24"/>
                <w:szCs w:val="24"/>
              </w:rPr>
              <w:t xml:space="preserve">   1、环境监测计划落实情况：</w:t>
            </w:r>
          </w:p>
          <w:p>
            <w:pPr>
              <w:spacing w:line="360" w:lineRule="auto"/>
              <w:rPr>
                <w:b/>
                <w:bCs/>
                <w:sz w:val="24"/>
                <w:szCs w:val="24"/>
              </w:rPr>
            </w:pPr>
            <w:r>
              <w:rPr>
                <w:rFonts w:hint="eastAsia"/>
                <w:sz w:val="24"/>
                <w:szCs w:val="24"/>
              </w:rPr>
              <w:t>验收阶段</w:t>
            </w:r>
            <w:r>
              <w:rPr>
                <w:sz w:val="24"/>
              </w:rPr>
              <w:t>四川省辐射环境管理监测中心站</w:t>
            </w:r>
            <w:r>
              <w:rPr>
                <w:rFonts w:hint="eastAsia"/>
                <w:sz w:val="24"/>
              </w:rPr>
              <w:t>对新建变电站站界四周及周围敏感点进行监测。</w:t>
            </w:r>
          </w:p>
          <w:p>
            <w:pPr>
              <w:spacing w:line="360" w:lineRule="auto"/>
              <w:rPr>
                <w:b/>
                <w:bCs/>
                <w:sz w:val="24"/>
                <w:szCs w:val="24"/>
              </w:rPr>
            </w:pPr>
            <w:r>
              <w:rPr>
                <w:rFonts w:hint="eastAsia"/>
                <w:b/>
                <w:bCs/>
                <w:sz w:val="24"/>
                <w:szCs w:val="24"/>
              </w:rPr>
              <w:t xml:space="preserve">   2、环境保护档案管理情况：</w:t>
            </w:r>
          </w:p>
          <w:p>
            <w:pPr>
              <w:spacing w:line="360" w:lineRule="auto"/>
              <w:rPr>
                <w:b/>
                <w:bCs/>
                <w:sz w:val="24"/>
                <w:szCs w:val="24"/>
              </w:rPr>
            </w:pPr>
            <w:r>
              <w:rPr>
                <w:rFonts w:hint="eastAsia"/>
                <w:sz w:val="24"/>
                <w:szCs w:val="24"/>
              </w:rPr>
              <w:t>四川省平武电力（集团）有限公司</w:t>
            </w:r>
            <w:r>
              <w:rPr>
                <w:rFonts w:hint="eastAsia"/>
                <w:sz w:val="24"/>
              </w:rPr>
              <w:t>设有专责对环境保护档案，包括项目环境影响评价报告表，评价执行标准、四川省环保厅的环评批复等文件档案进行管理，对于项目在建设过程中的相关措施及技术资料，在项目竣工后将作为技术档案放置档案室及相关部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08" w:hRule="atLeast"/>
          <w:jc w:val="center"/>
        </w:trPr>
        <w:tc>
          <w:tcPr>
            <w:tcW w:w="9089" w:type="dxa"/>
            <w:tcBorders>
              <w:top w:val="single" w:color="auto" w:sz="12" w:space="0"/>
              <w:left w:val="single" w:color="auto" w:sz="12" w:space="0"/>
              <w:bottom w:val="single" w:color="auto" w:sz="12" w:space="0"/>
              <w:right w:val="single" w:color="auto" w:sz="12" w:space="0"/>
            </w:tcBorders>
          </w:tcPr>
          <w:p>
            <w:pPr>
              <w:spacing w:line="360" w:lineRule="auto"/>
              <w:rPr>
                <w:b/>
                <w:bCs/>
                <w:sz w:val="24"/>
                <w:szCs w:val="24"/>
              </w:rPr>
            </w:pPr>
            <w:r>
              <w:rPr>
                <w:rFonts w:hint="eastAsia"/>
                <w:b/>
                <w:bCs/>
                <w:sz w:val="24"/>
                <w:szCs w:val="24"/>
              </w:rPr>
              <w:t>9.3环境管理状态分析</w:t>
            </w:r>
          </w:p>
          <w:p>
            <w:pPr>
              <w:spacing w:line="360" w:lineRule="auto"/>
              <w:rPr>
                <w:b/>
                <w:bCs/>
                <w:sz w:val="24"/>
                <w:szCs w:val="24"/>
              </w:rPr>
            </w:pPr>
            <w:r>
              <w:rPr>
                <w:rFonts w:hint="eastAsia"/>
                <w:sz w:val="24"/>
                <w:szCs w:val="24"/>
              </w:rPr>
              <w:t>四川省平武电力（集团）有限公司</w:t>
            </w:r>
            <w:r>
              <w:rPr>
                <w:rFonts w:hint="eastAsia"/>
                <w:bCs/>
                <w:sz w:val="24"/>
              </w:rPr>
              <w:t>在项目的立项、可研、实施、验收阶段都制定了相应的管理制度和技术规范，并在业主项目部设置了环保人员进行环保工作的管理。</w:t>
            </w:r>
          </w:p>
        </w:tc>
      </w:tr>
    </w:tbl>
    <w:p>
      <w:pPr>
        <w:jc w:val="left"/>
        <w:rPr>
          <w:b/>
          <w:sz w:val="32"/>
          <w:szCs w:val="32"/>
        </w:rPr>
        <w:sectPr>
          <w:pgSz w:w="11906" w:h="16838"/>
          <w:pgMar w:top="1440" w:right="1800" w:bottom="1440" w:left="1800" w:header="851" w:footer="992" w:gutter="0"/>
          <w:cols w:space="720" w:num="1"/>
          <w:docGrid w:type="lines" w:linePitch="312" w:charSpace="0"/>
        </w:sectPr>
      </w:pPr>
    </w:p>
    <w:p>
      <w:pPr>
        <w:pStyle w:val="2"/>
        <w:spacing w:before="0" w:after="0" w:line="360" w:lineRule="auto"/>
        <w:rPr>
          <w:b w:val="0"/>
          <w:sz w:val="32"/>
          <w:szCs w:val="32"/>
        </w:rPr>
      </w:pPr>
      <w:bookmarkStart w:id="18" w:name="_Toc483476032"/>
      <w:r>
        <w:rPr>
          <w:rFonts w:hint="eastAsia" w:ascii="宋体" w:hAnsi="宋体"/>
          <w:sz w:val="32"/>
          <w:szCs w:val="32"/>
        </w:rPr>
        <w:t>表十 竣工环保验收调查结论与建议</w:t>
      </w:r>
      <w:bookmarkEnd w:id="18"/>
    </w:p>
    <w:tbl>
      <w:tblPr>
        <w:tblStyle w:val="17"/>
        <w:tblW w:w="908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950" w:hRule="atLeast"/>
          <w:jc w:val="center"/>
        </w:trPr>
        <w:tc>
          <w:tcPr>
            <w:tcW w:w="9089" w:type="dxa"/>
            <w:tcBorders>
              <w:top w:val="single" w:color="auto" w:sz="12" w:space="0"/>
              <w:left w:val="single" w:color="auto" w:sz="12" w:space="0"/>
              <w:bottom w:val="single" w:color="auto" w:sz="12" w:space="0"/>
              <w:right w:val="single" w:color="auto" w:sz="12" w:space="0"/>
            </w:tcBorders>
          </w:tcPr>
          <w:p>
            <w:pPr>
              <w:spacing w:line="360" w:lineRule="auto"/>
              <w:rPr>
                <w:b/>
                <w:bCs/>
                <w:spacing w:val="-4"/>
                <w:sz w:val="24"/>
                <w:szCs w:val="24"/>
              </w:rPr>
            </w:pPr>
            <w:r>
              <w:rPr>
                <w:rFonts w:hint="eastAsia"/>
                <w:b/>
                <w:bCs/>
                <w:spacing w:val="-4"/>
                <w:sz w:val="24"/>
                <w:szCs w:val="24"/>
              </w:rPr>
              <w:t>10.1调查结论</w:t>
            </w:r>
          </w:p>
          <w:p>
            <w:pPr>
              <w:spacing w:line="360" w:lineRule="auto"/>
              <w:ind w:firstLine="480" w:firstLineChars="200"/>
              <w:rPr>
                <w:sz w:val="24"/>
                <w:szCs w:val="24"/>
              </w:rPr>
            </w:pPr>
            <w:r>
              <w:rPr>
                <w:rFonts w:hint="eastAsia"/>
                <w:bCs/>
                <w:sz w:val="24"/>
              </w:rPr>
              <w:t>本次验收的</w:t>
            </w:r>
            <w:r>
              <w:rPr>
                <w:rFonts w:hint="eastAsia"/>
                <w:sz w:val="24"/>
                <w:szCs w:val="24"/>
              </w:rPr>
              <w:t>四川省平武电力（集团）有限公司</w:t>
            </w:r>
            <w:r>
              <w:rPr>
                <w:rFonts w:hint="eastAsia" w:ascii="宋体" w:hAnsi="宋体" w:cs="宋体"/>
                <w:sz w:val="24"/>
              </w:rPr>
              <w:t>“</w:t>
            </w:r>
            <w:r>
              <w:rPr>
                <w:rFonts w:hint="eastAsia"/>
                <w:bCs/>
                <w:sz w:val="24"/>
                <w:szCs w:val="24"/>
              </w:rPr>
              <w:t>平武县龙安35千伏变电站灾后恢复重建改造工程</w:t>
            </w:r>
            <w:r>
              <w:rPr>
                <w:rFonts w:ascii="宋体" w:hAnsi="宋体" w:cs="宋体"/>
                <w:sz w:val="24"/>
              </w:rPr>
              <w:t>”</w:t>
            </w:r>
            <w:r>
              <w:rPr>
                <w:rFonts w:hint="eastAsia"/>
                <w:sz w:val="24"/>
              </w:rPr>
              <w:t>项目，其验收内容为：</w:t>
            </w:r>
            <w:r>
              <w:rPr>
                <w:rFonts w:hint="eastAsia"/>
                <w:bCs/>
                <w:sz w:val="24"/>
                <w:szCs w:val="24"/>
              </w:rPr>
              <w:t>龙安35kV变电站改造灾后恢复重建改造工程“运行名为（龙安110kV变电站）”：</w:t>
            </w:r>
            <w:r>
              <w:rPr>
                <w:sz w:val="24"/>
                <w:szCs w:val="24"/>
              </w:rPr>
              <w:t>主变</w:t>
            </w:r>
            <w:r>
              <w:rPr>
                <w:rFonts w:hint="eastAsia"/>
                <w:sz w:val="24"/>
                <w:szCs w:val="24"/>
              </w:rPr>
              <w:t>容量</w:t>
            </w:r>
            <w:r>
              <w:rPr>
                <w:sz w:val="24"/>
                <w:szCs w:val="24"/>
              </w:rPr>
              <w:t>1×50MVA</w:t>
            </w:r>
            <w:r>
              <w:rPr>
                <w:rFonts w:hint="eastAsia"/>
                <w:sz w:val="24"/>
                <w:szCs w:val="24"/>
              </w:rPr>
              <w:t>、</w:t>
            </w:r>
            <w:r>
              <w:rPr>
                <w:sz w:val="24"/>
                <w:szCs w:val="24"/>
              </w:rPr>
              <w:t>110kV出线</w:t>
            </w:r>
            <w:r>
              <w:rPr>
                <w:rFonts w:hint="eastAsia"/>
                <w:sz w:val="24"/>
                <w:szCs w:val="24"/>
              </w:rPr>
              <w:t>间隔4</w:t>
            </w:r>
            <w:r>
              <w:rPr>
                <w:sz w:val="24"/>
                <w:szCs w:val="24"/>
              </w:rPr>
              <w:t>回。</w:t>
            </w:r>
            <w:r>
              <w:rPr>
                <w:rFonts w:hint="eastAsia"/>
                <w:b/>
                <w:bCs/>
                <w:sz w:val="24"/>
              </w:rPr>
              <w:t>验收期间，工程运行正常。</w:t>
            </w:r>
          </w:p>
          <w:p>
            <w:pPr>
              <w:spacing w:line="355" w:lineRule="auto"/>
              <w:ind w:left="19" w:firstLine="482" w:firstLineChars="200"/>
              <w:rPr>
                <w:sz w:val="24"/>
              </w:rPr>
            </w:pPr>
            <w:r>
              <w:rPr>
                <w:rFonts w:hint="eastAsia"/>
                <w:b/>
                <w:sz w:val="24"/>
              </w:rPr>
              <w:t>1、工频电磁场：</w:t>
            </w:r>
            <w:r>
              <w:rPr>
                <w:rFonts w:hint="eastAsia"/>
                <w:sz w:val="24"/>
              </w:rPr>
              <w:t>工程选取测试的，变电站站界四周及距离变电站较近的具有代表性的敏感点的工频电场强度、工频磁感应强度均满足《电磁环境控制限值》（GB8702-2014）的工频电场4000V/m、工频磁感应强度100μT的限值要求。</w:t>
            </w:r>
          </w:p>
          <w:p>
            <w:pPr>
              <w:spacing w:line="355" w:lineRule="auto"/>
              <w:ind w:left="19" w:firstLine="482" w:firstLineChars="200"/>
              <w:rPr>
                <w:sz w:val="24"/>
              </w:rPr>
            </w:pPr>
            <w:r>
              <w:rPr>
                <w:b/>
                <w:sz w:val="24"/>
              </w:rPr>
              <w:t>2</w:t>
            </w:r>
            <w:r>
              <w:rPr>
                <w:rFonts w:hint="eastAsia"/>
                <w:b/>
                <w:sz w:val="24"/>
              </w:rPr>
              <w:t>、噪声：</w:t>
            </w:r>
            <w:r>
              <w:rPr>
                <w:rFonts w:hint="eastAsia"/>
                <w:sz w:val="24"/>
              </w:rPr>
              <w:t>变电站厂界噪声均满足《工业企业厂界环境噪声排放标准》（</w:t>
            </w:r>
            <w:r>
              <w:rPr>
                <w:sz w:val="24"/>
              </w:rPr>
              <w:t>GB12348-2008</w:t>
            </w:r>
            <w:r>
              <w:rPr>
                <w:rFonts w:hint="eastAsia"/>
                <w:sz w:val="24"/>
              </w:rPr>
              <w:t>）</w:t>
            </w:r>
            <w:r>
              <w:rPr>
                <w:sz w:val="24"/>
              </w:rPr>
              <w:t>2</w:t>
            </w:r>
            <w:r>
              <w:rPr>
                <w:rFonts w:hint="eastAsia"/>
                <w:sz w:val="24"/>
              </w:rPr>
              <w:t>类标准昼间</w:t>
            </w:r>
            <w:r>
              <w:rPr>
                <w:sz w:val="24"/>
              </w:rPr>
              <w:t>60dB（A）</w:t>
            </w:r>
            <w:r>
              <w:rPr>
                <w:rFonts w:hint="eastAsia"/>
                <w:sz w:val="24"/>
              </w:rPr>
              <w:t>、夜间</w:t>
            </w:r>
            <w:r>
              <w:rPr>
                <w:sz w:val="24"/>
              </w:rPr>
              <w:t>50dB（A</w:t>
            </w:r>
            <w:r>
              <w:rPr>
                <w:rFonts w:hint="eastAsia"/>
                <w:sz w:val="24"/>
              </w:rPr>
              <w:t>）的限值要求；敏感点的环境噪声均满足《声环境质量标准》（</w:t>
            </w:r>
            <w:r>
              <w:rPr>
                <w:sz w:val="24"/>
              </w:rPr>
              <w:t>GB 3096-2008</w:t>
            </w:r>
            <w:r>
              <w:rPr>
                <w:rFonts w:hint="eastAsia"/>
                <w:sz w:val="24"/>
              </w:rPr>
              <w:t>）</w:t>
            </w:r>
            <w:r>
              <w:rPr>
                <w:sz w:val="24"/>
              </w:rPr>
              <w:t>2</w:t>
            </w:r>
            <w:r>
              <w:rPr>
                <w:rFonts w:hint="eastAsia"/>
                <w:sz w:val="24"/>
              </w:rPr>
              <w:t>类标准昼间</w:t>
            </w:r>
            <w:r>
              <w:rPr>
                <w:sz w:val="24"/>
              </w:rPr>
              <w:t>60dB（A）</w:t>
            </w:r>
            <w:r>
              <w:rPr>
                <w:rFonts w:hint="eastAsia"/>
                <w:sz w:val="24"/>
              </w:rPr>
              <w:t>、夜间</w:t>
            </w:r>
            <w:r>
              <w:rPr>
                <w:sz w:val="24"/>
              </w:rPr>
              <w:t>50dB（A）</w:t>
            </w:r>
            <w:r>
              <w:rPr>
                <w:rFonts w:hint="eastAsia"/>
                <w:sz w:val="24"/>
              </w:rPr>
              <w:t>的限值要求。</w:t>
            </w:r>
          </w:p>
          <w:p>
            <w:pPr>
              <w:spacing w:line="355" w:lineRule="auto"/>
              <w:ind w:left="19" w:firstLine="482" w:firstLineChars="200"/>
              <w:rPr>
                <w:sz w:val="24"/>
              </w:rPr>
            </w:pPr>
            <w:r>
              <w:rPr>
                <w:b/>
                <w:sz w:val="24"/>
              </w:rPr>
              <w:t>3</w:t>
            </w:r>
            <w:r>
              <w:rPr>
                <w:rFonts w:hint="eastAsia"/>
                <w:sz w:val="24"/>
              </w:rPr>
              <w:t>、</w:t>
            </w:r>
            <w:r>
              <w:rPr>
                <w:rFonts w:hint="eastAsia"/>
                <w:b/>
                <w:sz w:val="24"/>
              </w:rPr>
              <w:t>生活污水及垃圾：</w:t>
            </w:r>
            <w:r>
              <w:rPr>
                <w:rFonts w:hint="eastAsia"/>
                <w:sz w:val="24"/>
              </w:rPr>
              <w:t>生活污水和生活垃圾产生于变电站内，</w:t>
            </w:r>
            <w:r>
              <w:rPr>
                <w:sz w:val="24"/>
              </w:rPr>
              <w:t>生活污水</w:t>
            </w:r>
            <w:r>
              <w:rPr>
                <w:rFonts w:hint="eastAsia"/>
                <w:sz w:val="24"/>
              </w:rPr>
              <w:t>经化粪池储存处理后用于周边农田施肥，变电站无生活污水乱排放现象；各生活垃圾集中收集收治，满足环保要求。</w:t>
            </w:r>
          </w:p>
          <w:p>
            <w:pPr>
              <w:spacing w:line="355" w:lineRule="auto"/>
              <w:ind w:left="19" w:firstLine="482" w:firstLineChars="200"/>
              <w:rPr>
                <w:sz w:val="24"/>
              </w:rPr>
            </w:pPr>
            <w:r>
              <w:rPr>
                <w:b/>
                <w:sz w:val="24"/>
              </w:rPr>
              <w:t>4</w:t>
            </w:r>
            <w:r>
              <w:rPr>
                <w:rFonts w:hint="eastAsia"/>
                <w:b/>
                <w:sz w:val="24"/>
              </w:rPr>
              <w:t>、变压器油：</w:t>
            </w:r>
            <w:r>
              <w:rPr>
                <w:rFonts w:hint="eastAsia"/>
                <w:sz w:val="24"/>
              </w:rPr>
              <w:t>变电站设施日常维护良好，极低概率变压器漏油事故状态下，变电站内按照设计标准建设了足够容积的事故油池，可完全容纳变压器油。事故状态或更换时产生的变压器油过滤回用，不能回用的少量废油交由有资质的单位处置（目前尚未产生）。</w:t>
            </w:r>
          </w:p>
          <w:p>
            <w:pPr>
              <w:spacing w:line="355" w:lineRule="auto"/>
              <w:ind w:left="19" w:firstLine="482" w:firstLineChars="200"/>
              <w:rPr>
                <w:sz w:val="24"/>
              </w:rPr>
            </w:pPr>
            <w:r>
              <w:rPr>
                <w:b/>
                <w:sz w:val="24"/>
              </w:rPr>
              <w:t>5</w:t>
            </w:r>
            <w:r>
              <w:rPr>
                <w:rFonts w:hint="eastAsia"/>
                <w:b/>
                <w:sz w:val="24"/>
              </w:rPr>
              <w:t>、生态：</w:t>
            </w:r>
            <w:r>
              <w:rPr>
                <w:rFonts w:hint="eastAsia"/>
                <w:bCs/>
                <w:sz w:val="24"/>
              </w:rPr>
              <w:t>变电站运行后不涉及土建施工，不会对植被生态造成影响。</w:t>
            </w:r>
          </w:p>
          <w:p>
            <w:pPr>
              <w:spacing w:line="360" w:lineRule="auto"/>
              <w:rPr>
                <w:sz w:val="24"/>
              </w:rPr>
            </w:pPr>
            <w:r>
              <w:rPr>
                <w:rFonts w:hint="eastAsia"/>
                <w:sz w:val="24"/>
              </w:rPr>
              <w:t xml:space="preserve">     综上所述，</w:t>
            </w:r>
            <w:r>
              <w:rPr>
                <w:rFonts w:hint="eastAsia"/>
                <w:sz w:val="24"/>
                <w:szCs w:val="24"/>
              </w:rPr>
              <w:t>四川省平武电力（集团）有限公司</w:t>
            </w:r>
            <w:r>
              <w:rPr>
                <w:rFonts w:hint="eastAsia" w:ascii="宋体" w:hAnsi="宋体" w:cs="宋体"/>
                <w:sz w:val="24"/>
              </w:rPr>
              <w:t>“</w:t>
            </w:r>
            <w:r>
              <w:rPr>
                <w:rFonts w:hint="eastAsia"/>
                <w:bCs/>
                <w:sz w:val="24"/>
                <w:szCs w:val="24"/>
              </w:rPr>
              <w:t>平武县龙安35千伏变电站灾后恢复重建改造工程</w:t>
            </w:r>
            <w:r>
              <w:rPr>
                <w:rFonts w:ascii="宋体" w:hAnsi="宋体" w:cs="宋体"/>
                <w:sz w:val="24"/>
              </w:rPr>
              <w:t>”</w:t>
            </w:r>
            <w:r>
              <w:rPr>
                <w:rFonts w:hint="eastAsia"/>
                <w:sz w:val="24"/>
              </w:rPr>
              <w:t>项目均严格按照环评要求及绵阳市环保局环评批复要求进行建设，项目试运行后运行正常，经检查，各项环保措施已实施到位；经监测，各点位工频电磁场及噪声监测值均满足相应标准限值要求。本工程不存在《建设项目竣工环境保护验收暂行办法》中第八条所列情形，工程达到了竣工环境保护验收的要求。</w:t>
            </w:r>
          </w:p>
          <w:p>
            <w:pPr>
              <w:rPr>
                <w:b/>
                <w:bCs/>
                <w:sz w:val="24"/>
                <w:szCs w:val="24"/>
              </w:rPr>
            </w:pPr>
            <w:r>
              <w:rPr>
                <w:rFonts w:hint="eastAsia"/>
                <w:b/>
                <w:bCs/>
                <w:sz w:val="24"/>
                <w:szCs w:val="24"/>
              </w:rPr>
              <w:t>10.2建议</w:t>
            </w:r>
          </w:p>
          <w:p>
            <w:pPr>
              <w:spacing w:line="360" w:lineRule="auto"/>
              <w:ind w:firstLine="480" w:firstLineChars="200"/>
              <w:rPr>
                <w:sz w:val="24"/>
              </w:rPr>
            </w:pPr>
            <w:r>
              <w:rPr>
                <w:sz w:val="24"/>
              </w:rPr>
              <w:t>1、</w:t>
            </w:r>
            <w:r>
              <w:rPr>
                <w:rFonts w:hint="eastAsia"/>
                <w:sz w:val="24"/>
              </w:rPr>
              <w:t>建设单位应在运营期加强相应环保和科普知识的宣传，让当地居民充分了解输变电项目的环保可行性，避免居民在工程运营期中因负面宣传而导致环保方面的投诉、纠纷或引发群体事件。</w:t>
            </w:r>
          </w:p>
          <w:p>
            <w:pPr>
              <w:spacing w:line="360" w:lineRule="auto"/>
              <w:ind w:firstLine="480" w:firstLineChars="200"/>
              <w:rPr>
                <w:rFonts w:cs="成"/>
                <w:sz w:val="24"/>
              </w:rPr>
            </w:pPr>
            <w:r>
              <w:rPr>
                <w:sz w:val="24"/>
              </w:rPr>
              <w:t>2、</w:t>
            </w:r>
            <w:r>
              <w:rPr>
                <w:rFonts w:hint="eastAsia" w:cs="成"/>
                <w:sz w:val="24"/>
              </w:rPr>
              <w:t>加强环保管理和环保设施的日常维护、管理，确保运行效率和处理效果的可靠性，确保各类污染物达标排放。</w:t>
            </w:r>
          </w:p>
          <w:p>
            <w:pPr>
              <w:spacing w:line="355" w:lineRule="auto"/>
              <w:ind w:firstLine="480" w:firstLineChars="200"/>
              <w:rPr>
                <w:sz w:val="24"/>
              </w:rPr>
            </w:pPr>
          </w:p>
        </w:tc>
      </w:tr>
    </w:tbl>
    <w:p>
      <w:pPr>
        <w:jc w:val="left"/>
        <w:rPr>
          <w:b/>
          <w:sz w:val="32"/>
          <w:szCs w:val="32"/>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成">
    <w:altName w:val="宋体"/>
    <w:panose1 w:val="00000000000000000000"/>
    <w:charset w:val="86"/>
    <w:family w:val="roman"/>
    <w:pitch w:val="default"/>
    <w:sig w:usb0="00000000" w:usb1="00000000" w:usb2="00000000" w:usb3="00000000" w:csb0="00040001" w:csb1="00000000"/>
  </w:font>
  <w:font w:name="Arial">
    <w:panose1 w:val="020B0604020202020204"/>
    <w:charset w:val="00"/>
    <w:family w:val="swiss"/>
    <w:pitch w:val="default"/>
    <w:sig w:usb0="E0002AFF" w:usb1="C0007843" w:usb2="00000009" w:usb3="00000000" w:csb0="400001FF" w:csb1="FFFF0000"/>
  </w:font>
  <w:font w:name="Arial Unicode MS">
    <w:altName w:val="Arial"/>
    <w:panose1 w:val="020B0604020202020204"/>
    <w:charset w:val="00"/>
    <w:family w:val="roman"/>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auto"/>
    <w:pitch w:val="default"/>
    <w:sig w:usb0="00000000" w:usb1="00000000"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lear" w:pos="8306"/>
      </w:tabs>
    </w:pPr>
  </w:p>
  <w:p>
    <w:pPr>
      <w:pStyle w:val="7"/>
      <w:ind w:left="5760" w:hanging="5760" w:hangingChars="32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5"/>
      </w:rPr>
    </w:pPr>
    <w:r>
      <w:fldChar w:fldCharType="begin"/>
    </w:r>
    <w:r>
      <w:rPr>
        <w:rStyle w:val="15"/>
      </w:rPr>
      <w:instrText xml:space="preserve">PAGE  </w:instrText>
    </w:r>
    <w:r>
      <w:fldChar w:fldCharType="end"/>
    </w: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5"/>
      </w:rPr>
    </w:pPr>
    <w:r>
      <w:fldChar w:fldCharType="begin"/>
    </w:r>
    <w:r>
      <w:rPr>
        <w:rStyle w:val="15"/>
      </w:rPr>
      <w:instrText xml:space="preserve">PAGE  </w:instrText>
    </w:r>
    <w:r>
      <w:fldChar w:fldCharType="separate"/>
    </w:r>
    <w:r>
      <w:rPr>
        <w:rStyle w:val="15"/>
      </w:rPr>
      <w:t>1</w:t>
    </w:r>
    <w:r>
      <w:fldChar w:fldCharType="end"/>
    </w:r>
  </w:p>
  <w:p>
    <w:pPr>
      <w:pStyle w:val="7"/>
      <w:tabs>
        <w:tab w:val="clear" w:pos="8306"/>
      </w:tabs>
      <w:jc w:val="center"/>
    </w:pPr>
  </w:p>
  <w:p>
    <w:pPr>
      <w:pStyle w:val="7"/>
      <w:ind w:left="5760" w:hanging="5760" w:hangingChars="3200"/>
    </w:pPr>
    <w:r>
      <w:rPr>
        <w:rFonts w:hint="eastAsia"/>
      </w:rPr>
      <w:t xml:space="preserve">                                                            四川省辐射环境管理监测中心站</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firstLineChars="200"/>
      <w:jc w:val="both"/>
    </w:pPr>
    <w:r>
      <w:rPr>
        <w:rFonts w:hint="eastAsia"/>
      </w:rPr>
      <w:t>四川省平武电力（集团）有限公司</w:t>
    </w:r>
  </w:p>
  <w:p>
    <w:pPr>
      <w:pStyle w:val="8"/>
      <w:ind w:firstLine="360" w:firstLineChars="200"/>
      <w:jc w:val="both"/>
    </w:pPr>
    <w:r>
      <w:rPr>
        <w:rFonts w:hint="eastAsia"/>
      </w:rPr>
      <w:t>平武县龙安35千伏变电站灾后恢复重建改造工程竣工环境保护验收调查表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306343"/>
    <w:multiLevelType w:val="singleLevel"/>
    <w:tmpl w:val="55306343"/>
    <w:lvl w:ilvl="0" w:tentative="0">
      <w:start w:val="1"/>
      <w:numFmt w:val="decimal"/>
      <w:suff w:val="nothing"/>
      <w:lvlText w:val="%1、"/>
      <w:lvlJc w:val="left"/>
    </w:lvl>
  </w:abstractNum>
  <w:abstractNum w:abstractNumId="1">
    <w:nsid w:val="5530657F"/>
    <w:multiLevelType w:val="singleLevel"/>
    <w:tmpl w:val="5530657F"/>
    <w:lvl w:ilvl="0" w:tentative="0">
      <w:start w:val="2"/>
      <w:numFmt w:val="decimal"/>
      <w:suff w:val="nothing"/>
      <w:lvlText w:val="%1、"/>
      <w:lvlJc w:val="left"/>
    </w:lvl>
  </w:abstractNum>
  <w:abstractNum w:abstractNumId="2">
    <w:nsid w:val="55306A1F"/>
    <w:multiLevelType w:val="singleLevel"/>
    <w:tmpl w:val="55306A1F"/>
    <w:lvl w:ilvl="0" w:tentative="0">
      <w:start w:val="2"/>
      <w:numFmt w:val="decimal"/>
      <w:suff w:val="nothing"/>
      <w:lvlText w:val="%1、"/>
      <w:lvlJc w:val="left"/>
    </w:lvl>
  </w:abstractNum>
  <w:abstractNum w:abstractNumId="3">
    <w:nsid w:val="55306E0F"/>
    <w:multiLevelType w:val="singleLevel"/>
    <w:tmpl w:val="55306E0F"/>
    <w:lvl w:ilvl="0" w:tentative="0">
      <w:start w:val="1"/>
      <w:numFmt w:val="decimal"/>
      <w:suff w:val="nothing"/>
      <w:lvlText w:val="%1、"/>
      <w:lvlJc w:val="left"/>
    </w:lvl>
  </w:abstractNum>
  <w:abstractNum w:abstractNumId="4">
    <w:nsid w:val="55306FE7"/>
    <w:multiLevelType w:val="singleLevel"/>
    <w:tmpl w:val="55306FE7"/>
    <w:lvl w:ilvl="0" w:tentative="0">
      <w:start w:val="1"/>
      <w:numFmt w:val="decimal"/>
      <w:suff w:val="nothing"/>
      <w:lvlText w:val="%1、"/>
      <w:lvlJc w:val="left"/>
    </w:lvl>
  </w:abstractNum>
  <w:abstractNum w:abstractNumId="5">
    <w:nsid w:val="5530CF25"/>
    <w:multiLevelType w:val="singleLevel"/>
    <w:tmpl w:val="5530CF25"/>
    <w:lvl w:ilvl="0" w:tentative="0">
      <w:start w:val="1"/>
      <w:numFmt w:val="chineseCounting"/>
      <w:suff w:val="nothing"/>
      <w:lvlText w:val="%1、"/>
      <w:lvlJc w:val="left"/>
    </w:lvl>
  </w:abstractNum>
  <w:abstractNum w:abstractNumId="6">
    <w:nsid w:val="5534B80D"/>
    <w:multiLevelType w:val="singleLevel"/>
    <w:tmpl w:val="5534B80D"/>
    <w:lvl w:ilvl="0" w:tentative="0">
      <w:start w:val="4"/>
      <w:numFmt w:val="chineseCounting"/>
      <w:suff w:val="nothing"/>
      <w:lvlText w:val="%1、"/>
      <w:lvlJc w:val="left"/>
    </w:lvl>
  </w:abstractNum>
  <w:abstractNum w:abstractNumId="7">
    <w:nsid w:val="5535B821"/>
    <w:multiLevelType w:val="singleLevel"/>
    <w:tmpl w:val="5535B821"/>
    <w:lvl w:ilvl="0" w:tentative="0">
      <w:start w:val="1"/>
      <w:numFmt w:val="decimal"/>
      <w:suff w:val="nothing"/>
      <w:lvlText w:val="%1、"/>
      <w:lvlJc w:val="left"/>
    </w:lvl>
  </w:abstractNum>
  <w:num w:numId="1">
    <w:abstractNumId w:val="7"/>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30CF7"/>
    <w:rsid w:val="0003713B"/>
    <w:rsid w:val="00056D8F"/>
    <w:rsid w:val="00092F3E"/>
    <w:rsid w:val="000A0118"/>
    <w:rsid w:val="000A66A9"/>
    <w:rsid w:val="000C089C"/>
    <w:rsid w:val="000E1E39"/>
    <w:rsid w:val="000E3D4D"/>
    <w:rsid w:val="00142FAD"/>
    <w:rsid w:val="001627AA"/>
    <w:rsid w:val="00172A27"/>
    <w:rsid w:val="001953DD"/>
    <w:rsid w:val="001D3B08"/>
    <w:rsid w:val="001E4C47"/>
    <w:rsid w:val="001F3205"/>
    <w:rsid w:val="001F4E3B"/>
    <w:rsid w:val="00215082"/>
    <w:rsid w:val="00215397"/>
    <w:rsid w:val="00231945"/>
    <w:rsid w:val="00284B24"/>
    <w:rsid w:val="00292275"/>
    <w:rsid w:val="002961FB"/>
    <w:rsid w:val="002A7D99"/>
    <w:rsid w:val="002E1FC1"/>
    <w:rsid w:val="002F7291"/>
    <w:rsid w:val="00316688"/>
    <w:rsid w:val="00322673"/>
    <w:rsid w:val="00322769"/>
    <w:rsid w:val="003760C5"/>
    <w:rsid w:val="003773FF"/>
    <w:rsid w:val="003A6119"/>
    <w:rsid w:val="003C1074"/>
    <w:rsid w:val="003C1444"/>
    <w:rsid w:val="003C5291"/>
    <w:rsid w:val="003F0CCB"/>
    <w:rsid w:val="004215D2"/>
    <w:rsid w:val="004321B1"/>
    <w:rsid w:val="004428C0"/>
    <w:rsid w:val="00444A07"/>
    <w:rsid w:val="00464326"/>
    <w:rsid w:val="004A15F5"/>
    <w:rsid w:val="004A2172"/>
    <w:rsid w:val="004A5E3B"/>
    <w:rsid w:val="004C79AD"/>
    <w:rsid w:val="004D4CBA"/>
    <w:rsid w:val="004E7C0F"/>
    <w:rsid w:val="005060F1"/>
    <w:rsid w:val="005107E1"/>
    <w:rsid w:val="0053743F"/>
    <w:rsid w:val="0055086B"/>
    <w:rsid w:val="00580C34"/>
    <w:rsid w:val="005B5806"/>
    <w:rsid w:val="005C0409"/>
    <w:rsid w:val="005C54CA"/>
    <w:rsid w:val="005C7071"/>
    <w:rsid w:val="005E26B5"/>
    <w:rsid w:val="005E673B"/>
    <w:rsid w:val="005F7E6E"/>
    <w:rsid w:val="00611ED5"/>
    <w:rsid w:val="00630378"/>
    <w:rsid w:val="00643615"/>
    <w:rsid w:val="0064725A"/>
    <w:rsid w:val="00653D72"/>
    <w:rsid w:val="00692A14"/>
    <w:rsid w:val="006E587A"/>
    <w:rsid w:val="006E58B9"/>
    <w:rsid w:val="006F7F83"/>
    <w:rsid w:val="00715CBF"/>
    <w:rsid w:val="007363C8"/>
    <w:rsid w:val="00750550"/>
    <w:rsid w:val="007545DF"/>
    <w:rsid w:val="0078687C"/>
    <w:rsid w:val="007C0B63"/>
    <w:rsid w:val="007D64C8"/>
    <w:rsid w:val="008641DD"/>
    <w:rsid w:val="008934F8"/>
    <w:rsid w:val="008A0CC5"/>
    <w:rsid w:val="008A12E0"/>
    <w:rsid w:val="008A69A6"/>
    <w:rsid w:val="008C2CFE"/>
    <w:rsid w:val="008D7C15"/>
    <w:rsid w:val="008E07E5"/>
    <w:rsid w:val="008E18A9"/>
    <w:rsid w:val="00932C36"/>
    <w:rsid w:val="00936B10"/>
    <w:rsid w:val="00946FBC"/>
    <w:rsid w:val="00957F02"/>
    <w:rsid w:val="0096215D"/>
    <w:rsid w:val="00967526"/>
    <w:rsid w:val="00974E96"/>
    <w:rsid w:val="00985E2B"/>
    <w:rsid w:val="00993F86"/>
    <w:rsid w:val="0099640C"/>
    <w:rsid w:val="009A3423"/>
    <w:rsid w:val="009C7EAB"/>
    <w:rsid w:val="009F17EB"/>
    <w:rsid w:val="00A020D2"/>
    <w:rsid w:val="00A11CC5"/>
    <w:rsid w:val="00A17520"/>
    <w:rsid w:val="00A30B49"/>
    <w:rsid w:val="00A34390"/>
    <w:rsid w:val="00A40C46"/>
    <w:rsid w:val="00A61DCF"/>
    <w:rsid w:val="00A921FC"/>
    <w:rsid w:val="00AB12D9"/>
    <w:rsid w:val="00AC1776"/>
    <w:rsid w:val="00AC60AE"/>
    <w:rsid w:val="00AD1A8D"/>
    <w:rsid w:val="00AD1F63"/>
    <w:rsid w:val="00AD414E"/>
    <w:rsid w:val="00AE4803"/>
    <w:rsid w:val="00AF5241"/>
    <w:rsid w:val="00B60B62"/>
    <w:rsid w:val="00B63071"/>
    <w:rsid w:val="00B7079B"/>
    <w:rsid w:val="00BE61CA"/>
    <w:rsid w:val="00BF5FB3"/>
    <w:rsid w:val="00BF7A2B"/>
    <w:rsid w:val="00C16B1C"/>
    <w:rsid w:val="00C302B6"/>
    <w:rsid w:val="00C453B4"/>
    <w:rsid w:val="00C53A94"/>
    <w:rsid w:val="00C553B1"/>
    <w:rsid w:val="00C57C50"/>
    <w:rsid w:val="00C8008A"/>
    <w:rsid w:val="00C87CDE"/>
    <w:rsid w:val="00C96EE3"/>
    <w:rsid w:val="00CA6EA3"/>
    <w:rsid w:val="00CB05EC"/>
    <w:rsid w:val="00CB1D78"/>
    <w:rsid w:val="00CC2921"/>
    <w:rsid w:val="00CC7685"/>
    <w:rsid w:val="00D25D91"/>
    <w:rsid w:val="00D3057C"/>
    <w:rsid w:val="00D473F1"/>
    <w:rsid w:val="00D7712E"/>
    <w:rsid w:val="00DD0ED3"/>
    <w:rsid w:val="00DE7833"/>
    <w:rsid w:val="00E00A2A"/>
    <w:rsid w:val="00E04828"/>
    <w:rsid w:val="00E0520A"/>
    <w:rsid w:val="00E310FE"/>
    <w:rsid w:val="00E318FD"/>
    <w:rsid w:val="00E34E8D"/>
    <w:rsid w:val="00E438E2"/>
    <w:rsid w:val="00E5260B"/>
    <w:rsid w:val="00EB1266"/>
    <w:rsid w:val="00EB1E41"/>
    <w:rsid w:val="00EF0C58"/>
    <w:rsid w:val="00F07C33"/>
    <w:rsid w:val="00F20DCB"/>
    <w:rsid w:val="00F4174C"/>
    <w:rsid w:val="00F5349E"/>
    <w:rsid w:val="00F56863"/>
    <w:rsid w:val="00F655AC"/>
    <w:rsid w:val="00F72046"/>
    <w:rsid w:val="00F96304"/>
    <w:rsid w:val="00FB159B"/>
    <w:rsid w:val="00FD6857"/>
    <w:rsid w:val="00FE4017"/>
    <w:rsid w:val="012776E1"/>
    <w:rsid w:val="01454F03"/>
    <w:rsid w:val="02CE0993"/>
    <w:rsid w:val="02D86E6D"/>
    <w:rsid w:val="03162E2B"/>
    <w:rsid w:val="03E92E5C"/>
    <w:rsid w:val="041C45AF"/>
    <w:rsid w:val="05107E78"/>
    <w:rsid w:val="06A80C89"/>
    <w:rsid w:val="06A91035"/>
    <w:rsid w:val="07102B1A"/>
    <w:rsid w:val="07290224"/>
    <w:rsid w:val="09B15600"/>
    <w:rsid w:val="0ACE5111"/>
    <w:rsid w:val="0B7F7D7E"/>
    <w:rsid w:val="0BD056A4"/>
    <w:rsid w:val="0C014316"/>
    <w:rsid w:val="0C761597"/>
    <w:rsid w:val="0D282B0A"/>
    <w:rsid w:val="0D382232"/>
    <w:rsid w:val="0D592010"/>
    <w:rsid w:val="0E090856"/>
    <w:rsid w:val="0E94646A"/>
    <w:rsid w:val="0FB03943"/>
    <w:rsid w:val="116F1AE2"/>
    <w:rsid w:val="1397073B"/>
    <w:rsid w:val="13D81A0F"/>
    <w:rsid w:val="143A58FF"/>
    <w:rsid w:val="14967525"/>
    <w:rsid w:val="14D2395E"/>
    <w:rsid w:val="14EE3C51"/>
    <w:rsid w:val="14FC7D0F"/>
    <w:rsid w:val="15903A17"/>
    <w:rsid w:val="159F3D0E"/>
    <w:rsid w:val="16243E86"/>
    <w:rsid w:val="1634665E"/>
    <w:rsid w:val="1640171A"/>
    <w:rsid w:val="166B6EA0"/>
    <w:rsid w:val="16B84D7F"/>
    <w:rsid w:val="17D167C3"/>
    <w:rsid w:val="183775CD"/>
    <w:rsid w:val="18667782"/>
    <w:rsid w:val="18F84BF5"/>
    <w:rsid w:val="18FE44C9"/>
    <w:rsid w:val="19CC4DA3"/>
    <w:rsid w:val="1A2B28AD"/>
    <w:rsid w:val="1B262D2B"/>
    <w:rsid w:val="1B701F3F"/>
    <w:rsid w:val="1BE2390E"/>
    <w:rsid w:val="1CDB1DEB"/>
    <w:rsid w:val="1D393775"/>
    <w:rsid w:val="1DBE16B1"/>
    <w:rsid w:val="1E335853"/>
    <w:rsid w:val="1E3B54A1"/>
    <w:rsid w:val="1EEC4780"/>
    <w:rsid w:val="1F7766DD"/>
    <w:rsid w:val="1F817CB2"/>
    <w:rsid w:val="1FA04E8B"/>
    <w:rsid w:val="1FED6735"/>
    <w:rsid w:val="1FF92743"/>
    <w:rsid w:val="2013328B"/>
    <w:rsid w:val="20DF4C34"/>
    <w:rsid w:val="217B5D85"/>
    <w:rsid w:val="21E048E8"/>
    <w:rsid w:val="225004FF"/>
    <w:rsid w:val="22607957"/>
    <w:rsid w:val="22943C9F"/>
    <w:rsid w:val="22F168D2"/>
    <w:rsid w:val="22F816B3"/>
    <w:rsid w:val="231A0FDF"/>
    <w:rsid w:val="237F5BAD"/>
    <w:rsid w:val="23B70540"/>
    <w:rsid w:val="23EC4611"/>
    <w:rsid w:val="25216430"/>
    <w:rsid w:val="259C7DAB"/>
    <w:rsid w:val="25E40DA1"/>
    <w:rsid w:val="26530C71"/>
    <w:rsid w:val="26547025"/>
    <w:rsid w:val="26AC368E"/>
    <w:rsid w:val="27434FE4"/>
    <w:rsid w:val="274C2E9F"/>
    <w:rsid w:val="275C4960"/>
    <w:rsid w:val="276506AD"/>
    <w:rsid w:val="28B1428A"/>
    <w:rsid w:val="28D556F5"/>
    <w:rsid w:val="293039F9"/>
    <w:rsid w:val="2A397A26"/>
    <w:rsid w:val="2A7755A3"/>
    <w:rsid w:val="2A911250"/>
    <w:rsid w:val="2B127DCC"/>
    <w:rsid w:val="2B150F69"/>
    <w:rsid w:val="2B526929"/>
    <w:rsid w:val="2BB62D6F"/>
    <w:rsid w:val="2CFA7D09"/>
    <w:rsid w:val="2D0D0CEA"/>
    <w:rsid w:val="2D744CC9"/>
    <w:rsid w:val="2E5A546F"/>
    <w:rsid w:val="2E685CC2"/>
    <w:rsid w:val="2EAA0C10"/>
    <w:rsid w:val="2F152248"/>
    <w:rsid w:val="304A4A16"/>
    <w:rsid w:val="31211280"/>
    <w:rsid w:val="31560889"/>
    <w:rsid w:val="31E44EDB"/>
    <w:rsid w:val="31EB20CE"/>
    <w:rsid w:val="32110CD0"/>
    <w:rsid w:val="33A4078D"/>
    <w:rsid w:val="33C630B8"/>
    <w:rsid w:val="35091CBD"/>
    <w:rsid w:val="352B1731"/>
    <w:rsid w:val="3558100F"/>
    <w:rsid w:val="35605A5E"/>
    <w:rsid w:val="357034E5"/>
    <w:rsid w:val="36242270"/>
    <w:rsid w:val="362F3E66"/>
    <w:rsid w:val="36BB173E"/>
    <w:rsid w:val="36BF1128"/>
    <w:rsid w:val="36DD0CF4"/>
    <w:rsid w:val="37152B74"/>
    <w:rsid w:val="37A70896"/>
    <w:rsid w:val="37BA2E10"/>
    <w:rsid w:val="37CC0339"/>
    <w:rsid w:val="38174327"/>
    <w:rsid w:val="386B1530"/>
    <w:rsid w:val="387D2331"/>
    <w:rsid w:val="38894220"/>
    <w:rsid w:val="38B9233D"/>
    <w:rsid w:val="38DC0A17"/>
    <w:rsid w:val="39012BB2"/>
    <w:rsid w:val="390549B4"/>
    <w:rsid w:val="39E340CF"/>
    <w:rsid w:val="3A534BC5"/>
    <w:rsid w:val="3A6A5F18"/>
    <w:rsid w:val="3B626756"/>
    <w:rsid w:val="3BA11FE9"/>
    <w:rsid w:val="3BA12AA3"/>
    <w:rsid w:val="3BA64885"/>
    <w:rsid w:val="3C16510C"/>
    <w:rsid w:val="3C5E4D1D"/>
    <w:rsid w:val="3C5E7A8C"/>
    <w:rsid w:val="3C963794"/>
    <w:rsid w:val="3CA75B21"/>
    <w:rsid w:val="3D2B7A1A"/>
    <w:rsid w:val="3D4846C0"/>
    <w:rsid w:val="3D715924"/>
    <w:rsid w:val="3DE5413D"/>
    <w:rsid w:val="3EDA4FAF"/>
    <w:rsid w:val="3F6D6A12"/>
    <w:rsid w:val="40533322"/>
    <w:rsid w:val="42171F42"/>
    <w:rsid w:val="455713B8"/>
    <w:rsid w:val="458757EA"/>
    <w:rsid w:val="458A65F4"/>
    <w:rsid w:val="45F81949"/>
    <w:rsid w:val="46172D44"/>
    <w:rsid w:val="47A77231"/>
    <w:rsid w:val="47E2078B"/>
    <w:rsid w:val="482A0C25"/>
    <w:rsid w:val="48574283"/>
    <w:rsid w:val="49627303"/>
    <w:rsid w:val="49911571"/>
    <w:rsid w:val="49FD65F3"/>
    <w:rsid w:val="4A1D0AAE"/>
    <w:rsid w:val="4B2E4A0B"/>
    <w:rsid w:val="4C2B107C"/>
    <w:rsid w:val="4CC03314"/>
    <w:rsid w:val="4D0067F1"/>
    <w:rsid w:val="4D750F0A"/>
    <w:rsid w:val="4D9002F0"/>
    <w:rsid w:val="4DDA313B"/>
    <w:rsid w:val="4DEA37BB"/>
    <w:rsid w:val="4E0E6DE8"/>
    <w:rsid w:val="4E164B4C"/>
    <w:rsid w:val="4F432FC8"/>
    <w:rsid w:val="502F241E"/>
    <w:rsid w:val="50411E9C"/>
    <w:rsid w:val="50B50E07"/>
    <w:rsid w:val="51B21C40"/>
    <w:rsid w:val="51EE0F63"/>
    <w:rsid w:val="526D38F4"/>
    <w:rsid w:val="528A50E5"/>
    <w:rsid w:val="534023AD"/>
    <w:rsid w:val="53DC14A9"/>
    <w:rsid w:val="54A01F95"/>
    <w:rsid w:val="55992289"/>
    <w:rsid w:val="55AE4A05"/>
    <w:rsid w:val="55FC6ADD"/>
    <w:rsid w:val="56FA6D72"/>
    <w:rsid w:val="56FE3309"/>
    <w:rsid w:val="570274BA"/>
    <w:rsid w:val="571F68A6"/>
    <w:rsid w:val="57311505"/>
    <w:rsid w:val="573C093A"/>
    <w:rsid w:val="575E31DF"/>
    <w:rsid w:val="5776318D"/>
    <w:rsid w:val="57E13238"/>
    <w:rsid w:val="57E31805"/>
    <w:rsid w:val="59973C44"/>
    <w:rsid w:val="5B081DE4"/>
    <w:rsid w:val="5B4B60A7"/>
    <w:rsid w:val="5C1450D3"/>
    <w:rsid w:val="5C745428"/>
    <w:rsid w:val="5CA45E01"/>
    <w:rsid w:val="5D8E5306"/>
    <w:rsid w:val="5E8E0663"/>
    <w:rsid w:val="5F4D3456"/>
    <w:rsid w:val="612C2C7C"/>
    <w:rsid w:val="62D717C7"/>
    <w:rsid w:val="636B6BA7"/>
    <w:rsid w:val="66644A44"/>
    <w:rsid w:val="66D93D67"/>
    <w:rsid w:val="66DC587A"/>
    <w:rsid w:val="674F00A9"/>
    <w:rsid w:val="67822C64"/>
    <w:rsid w:val="69300CB6"/>
    <w:rsid w:val="699C21A5"/>
    <w:rsid w:val="6BB96C23"/>
    <w:rsid w:val="6BBD3480"/>
    <w:rsid w:val="6CC9772C"/>
    <w:rsid w:val="6D011854"/>
    <w:rsid w:val="6DB4300C"/>
    <w:rsid w:val="6F413E75"/>
    <w:rsid w:val="6F801068"/>
    <w:rsid w:val="70452D08"/>
    <w:rsid w:val="70D72BC5"/>
    <w:rsid w:val="71221CA7"/>
    <w:rsid w:val="716D4A3B"/>
    <w:rsid w:val="71733F7C"/>
    <w:rsid w:val="71A41487"/>
    <w:rsid w:val="71B10476"/>
    <w:rsid w:val="720D3F58"/>
    <w:rsid w:val="727E3E9E"/>
    <w:rsid w:val="72D21C7B"/>
    <w:rsid w:val="73277935"/>
    <w:rsid w:val="732B2650"/>
    <w:rsid w:val="73410B89"/>
    <w:rsid w:val="749545A3"/>
    <w:rsid w:val="74D87218"/>
    <w:rsid w:val="75A10F7E"/>
    <w:rsid w:val="76793DD3"/>
    <w:rsid w:val="77AB43E5"/>
    <w:rsid w:val="77B82A0F"/>
    <w:rsid w:val="77EA719B"/>
    <w:rsid w:val="77FC67FC"/>
    <w:rsid w:val="793B7CF8"/>
    <w:rsid w:val="79D17F85"/>
    <w:rsid w:val="7A4D21A9"/>
    <w:rsid w:val="7B48240C"/>
    <w:rsid w:val="7EAB0888"/>
    <w:rsid w:val="7EAE7544"/>
    <w:rsid w:val="7F9746A8"/>
    <w:rsid w:val="7FD66AE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iPriority="99"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13">
    <w:name w:val="Default Paragraph Font"/>
    <w:unhideWhenUsed/>
    <w:qFormat/>
    <w:uiPriority w:val="1"/>
  </w:style>
  <w:style w:type="table" w:default="1" w:styleId="17">
    <w:name w:val="Normal Table"/>
    <w:unhideWhenUsed/>
    <w:qFormat/>
    <w:uiPriority w:val="99"/>
    <w:tblPr>
      <w:tblLayout w:type="fixed"/>
      <w:tblCellMar>
        <w:top w:w="0" w:type="dxa"/>
        <w:left w:w="108" w:type="dxa"/>
        <w:bottom w:w="0" w:type="dxa"/>
        <w:right w:w="108" w:type="dxa"/>
      </w:tblCellMar>
    </w:tblPr>
  </w:style>
  <w:style w:type="paragraph" w:styleId="3">
    <w:name w:val="Normal Indent"/>
    <w:basedOn w:val="1"/>
    <w:link w:val="19"/>
    <w:qFormat/>
    <w:uiPriority w:val="0"/>
    <w:pPr>
      <w:ind w:firstLine="420"/>
    </w:pPr>
    <w:rPr>
      <w:szCs w:val="20"/>
    </w:rPr>
  </w:style>
  <w:style w:type="paragraph" w:styleId="4">
    <w:name w:val="toc 3"/>
    <w:basedOn w:val="1"/>
    <w:next w:val="1"/>
    <w:qFormat/>
    <w:uiPriority w:val="39"/>
    <w:pPr>
      <w:ind w:left="840" w:leftChars="400"/>
    </w:pPr>
  </w:style>
  <w:style w:type="paragraph" w:styleId="5">
    <w:name w:val="Plain Text"/>
    <w:basedOn w:val="1"/>
    <w:unhideWhenUsed/>
    <w:qFormat/>
    <w:uiPriority w:val="99"/>
    <w:rPr>
      <w:rFonts w:ascii="宋体" w:hAnsi="Courier New" w:cs="成"/>
      <w:szCs w:val="21"/>
    </w:rPr>
  </w:style>
  <w:style w:type="paragraph" w:styleId="6">
    <w:name w:val="Balloon Text"/>
    <w:basedOn w:val="1"/>
    <w:link w:val="20"/>
    <w:unhideWhenUsed/>
    <w:qFormat/>
    <w:uiPriority w:val="99"/>
    <w:rPr>
      <w:sz w:val="18"/>
      <w:szCs w:val="18"/>
    </w:rPr>
  </w:style>
  <w:style w:type="paragraph" w:styleId="7">
    <w:name w:val="footer"/>
    <w:basedOn w:val="1"/>
    <w:unhideWhenUsed/>
    <w:qFormat/>
    <w:uiPriority w:val="0"/>
    <w:pPr>
      <w:tabs>
        <w:tab w:val="center" w:pos="4153"/>
        <w:tab w:val="right" w:pos="8306"/>
      </w:tabs>
      <w:snapToGrid w:val="0"/>
      <w:jc w:val="left"/>
    </w:pPr>
    <w:rPr>
      <w:sz w:val="18"/>
      <w:szCs w:val="18"/>
    </w:rPr>
  </w:style>
  <w:style w:type="paragraph" w:styleId="8">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Body Text Indent 3"/>
    <w:basedOn w:val="1"/>
    <w:unhideWhenUsed/>
    <w:qFormat/>
    <w:uiPriority w:val="99"/>
    <w:pPr>
      <w:spacing w:after="120"/>
      <w:ind w:left="420" w:leftChars="200"/>
    </w:pPr>
    <w:rPr>
      <w:sz w:val="16"/>
      <w:szCs w:val="16"/>
    </w:rPr>
  </w:style>
  <w:style w:type="paragraph" w:styleId="11">
    <w:name w:val="toc 2"/>
    <w:basedOn w:val="1"/>
    <w:next w:val="1"/>
    <w:qFormat/>
    <w:uiPriority w:val="39"/>
    <w:pPr>
      <w:ind w:left="420" w:leftChars="200"/>
    </w:pPr>
  </w:style>
  <w:style w:type="paragraph" w:styleId="12">
    <w:name w:val="Normal (Web)"/>
    <w:basedOn w:val="1"/>
    <w:unhideWhenUsed/>
    <w:qFormat/>
    <w:uiPriority w:val="99"/>
    <w:pPr>
      <w:spacing w:before="100" w:beforeAutospacing="1" w:after="100" w:afterAutospacing="1"/>
      <w:jc w:val="left"/>
    </w:pPr>
    <w:rPr>
      <w:kern w:val="0"/>
      <w:sz w:val="24"/>
    </w:rPr>
  </w:style>
  <w:style w:type="character" w:styleId="14">
    <w:name w:val="Strong"/>
    <w:basedOn w:val="13"/>
    <w:qFormat/>
    <w:uiPriority w:val="22"/>
    <w:rPr>
      <w:b/>
    </w:rPr>
  </w:style>
  <w:style w:type="character" w:styleId="15">
    <w:name w:val="page number"/>
    <w:basedOn w:val="13"/>
    <w:unhideWhenUsed/>
    <w:qFormat/>
    <w:uiPriority w:val="99"/>
  </w:style>
  <w:style w:type="character" w:styleId="16">
    <w:name w:val="Hyperlink"/>
    <w:qFormat/>
    <w:uiPriority w:val="99"/>
    <w:rPr>
      <w:color w:val="0000FF"/>
      <w:u w:val="single"/>
    </w:rPr>
  </w:style>
  <w:style w:type="table" w:styleId="18">
    <w:name w:val="Table Grid"/>
    <w:basedOn w:val="17"/>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9">
    <w:name w:val="正文缩进 Char"/>
    <w:link w:val="3"/>
    <w:qFormat/>
    <w:uiPriority w:val="0"/>
    <w:rPr>
      <w:kern w:val="2"/>
      <w:sz w:val="21"/>
    </w:rPr>
  </w:style>
  <w:style w:type="character" w:customStyle="1" w:styleId="20">
    <w:name w:val="批注框文本 Char"/>
    <w:link w:val="6"/>
    <w:semiHidden/>
    <w:qFormat/>
    <w:uiPriority w:val="99"/>
    <w:rPr>
      <w:kern w:val="2"/>
      <w:sz w:val="18"/>
      <w:szCs w:val="18"/>
    </w:rPr>
  </w:style>
  <w:style w:type="paragraph" w:customStyle="1" w:styleId="21">
    <w:name w:val="应填表格"/>
    <w:basedOn w:val="1"/>
    <w:qFormat/>
    <w:uiPriority w:val="0"/>
    <w:pPr>
      <w:adjustRightInd w:val="0"/>
      <w:spacing w:before="40" w:after="40"/>
      <w:jc w:val="left"/>
      <w:textAlignment w:val="baseline"/>
    </w:pPr>
    <w:rPr>
      <w:kern w:val="0"/>
      <w:sz w:val="24"/>
      <w:szCs w:val="20"/>
    </w:rPr>
  </w:style>
  <w:style w:type="paragraph" w:customStyle="1" w:styleId="22">
    <w:name w:val="Char3"/>
    <w:basedOn w:val="1"/>
    <w:semiHidden/>
    <w:qFormat/>
    <w:uiPriority w:val="0"/>
    <w:pPr>
      <w:widowControl/>
      <w:spacing w:after="160" w:line="240" w:lineRule="exact"/>
      <w:jc w:val="left"/>
    </w:pPr>
    <w:rPr>
      <w:rFonts w:ascii="Arial" w:hAnsi="Arial"/>
      <w:kern w:val="0"/>
      <w:sz w:val="22"/>
      <w:lang w:eastAsia="en-US"/>
    </w:rPr>
  </w:style>
  <w:style w:type="paragraph" w:customStyle="1" w:styleId="23">
    <w:name w:val="表名"/>
    <w:basedOn w:val="1"/>
    <w:qFormat/>
    <w:uiPriority w:val="0"/>
    <w:pPr>
      <w:overflowPunct w:val="0"/>
      <w:spacing w:before="120" w:line="300" w:lineRule="exact"/>
      <w:textAlignment w:val="baseline"/>
    </w:pPr>
    <w:rPr>
      <w:rFonts w:eastAsia="黑体"/>
      <w:sz w:val="28"/>
      <w:szCs w:val="20"/>
    </w:rPr>
  </w:style>
  <w:style w:type="paragraph" w:customStyle="1" w:styleId="24">
    <w:name w:val="宋标一"/>
    <w:basedOn w:val="1"/>
    <w:qFormat/>
    <w:uiPriority w:val="0"/>
    <w:pPr>
      <w:spacing w:beforeLines="50" w:line="360" w:lineRule="auto"/>
      <w:ind w:firstLine="200" w:firstLineChars="200"/>
    </w:pPr>
    <w:rPr>
      <w:sz w:val="24"/>
    </w:rPr>
  </w:style>
  <w:style w:type="paragraph" w:customStyle="1" w:styleId="25">
    <w:name w:val="Char4 Char Char Char Char Char Char1"/>
    <w:basedOn w:val="1"/>
    <w:qFormat/>
    <w:uiPriority w:val="0"/>
    <w:pPr>
      <w:spacing w:line="360" w:lineRule="auto"/>
      <w:ind w:firstLine="200" w:firstLineChars="200"/>
    </w:pPr>
    <w:rPr>
      <w:rFonts w:ascii="宋体" w:hAnsi="宋体" w:cs="宋体"/>
      <w:sz w:val="24"/>
      <w:szCs w:val="24"/>
    </w:rPr>
  </w:style>
  <w:style w:type="paragraph" w:customStyle="1" w:styleId="26">
    <w:name w:val="Char4 Char Char Char Char Char Char11"/>
    <w:basedOn w:val="1"/>
    <w:qFormat/>
    <w:uiPriority w:val="0"/>
    <w:pPr>
      <w:spacing w:line="360" w:lineRule="auto"/>
      <w:ind w:firstLine="200" w:firstLineChars="200"/>
    </w:pPr>
    <w:rPr>
      <w:rFonts w:ascii="宋体" w:hAnsi="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10698</Words>
  <Characters>3206</Characters>
  <Lines>26</Lines>
  <Paragraphs>27</Paragraphs>
  <ScaleCrop>false</ScaleCrop>
  <LinksUpToDate>false</LinksUpToDate>
  <CharactersWithSpaces>13877</CharactersWithSpaces>
  <Application>WPS Office_10.8.0.6370_F1E327BC-269C-435d-A152-05C5408002CA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2017-05-27T03:37:00Z</dcterms:created>
  <dc:creator>delll</dc:creator>
  <cp:lastModifiedBy>TS009</cp:lastModifiedBy>
  <cp:lastPrinted>2018-06-03T09:59:00Z</cp:lastPrinted>
  <dcterms:modified xsi:type="dcterms:W3CDTF">2019-03-11T12:05:32Z</dcterms:modified>
  <dc:title>建 设 项 目 竣 工 </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2052-10.8.0.6370</vt:lpwstr>
  </property>
</Properties>
</file>